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83349" w14:textId="4517FBEB" w:rsidR="00B77F39" w:rsidRPr="00F05FC4" w:rsidRDefault="00B77F39" w:rsidP="00074199">
      <w:pPr>
        <w:pStyle w:val="Heading1"/>
      </w:pPr>
      <w:r w:rsidRPr="00F05FC4">
        <w:rPr>
          <w:rStyle w:val="Strong"/>
        </w:rPr>
        <w:t>Position:</w:t>
      </w:r>
      <w:r w:rsidRPr="00F05FC4">
        <w:t xml:space="preserve"> </w:t>
      </w:r>
      <w:r w:rsidR="0029051D" w:rsidRPr="00F05FC4">
        <w:t>202</w:t>
      </w:r>
      <w:r w:rsidR="003934E9">
        <w:t>2</w:t>
      </w:r>
      <w:r w:rsidR="0017112B">
        <w:t xml:space="preserve"> </w:t>
      </w:r>
      <w:r w:rsidR="0029051D" w:rsidRPr="00F05FC4">
        <w:t>L</w:t>
      </w:r>
      <w:r w:rsidR="00AC6236">
        <w:t>aw Department</w:t>
      </w:r>
      <w:r w:rsidR="0029051D" w:rsidRPr="00F05FC4">
        <w:t xml:space="preserve"> </w:t>
      </w:r>
      <w:r w:rsidR="00AC6236">
        <w:t xml:space="preserve">Summer </w:t>
      </w:r>
      <w:r w:rsidR="0029051D" w:rsidRPr="00F05FC4">
        <w:t>Internship Program</w:t>
      </w:r>
    </w:p>
    <w:p w14:paraId="44C46C68" w14:textId="77777777" w:rsidR="00B77F39" w:rsidRPr="00F05FC4" w:rsidRDefault="00B77F39" w:rsidP="00074199">
      <w:pPr>
        <w:pStyle w:val="Heading1"/>
      </w:pPr>
      <w:r w:rsidRPr="00F05FC4">
        <w:rPr>
          <w:rStyle w:val="Strong"/>
        </w:rPr>
        <w:t>Location</w:t>
      </w:r>
      <w:r w:rsidRPr="00F05FC4">
        <w:t>: Princeton, New Jersey</w:t>
      </w:r>
    </w:p>
    <w:p w14:paraId="3E7FB968" w14:textId="77777777" w:rsidR="00074199" w:rsidRPr="00F05FC4" w:rsidRDefault="00074199" w:rsidP="00074199">
      <w:pPr>
        <w:pStyle w:val="BodyText"/>
      </w:pPr>
    </w:p>
    <w:p w14:paraId="44F8ACA3" w14:textId="77777777" w:rsidR="00B77F39" w:rsidRPr="00F05FC4" w:rsidRDefault="00074199" w:rsidP="00CF0DB3">
      <w:pPr>
        <w:pStyle w:val="BodyText"/>
      </w:pPr>
      <w:r w:rsidRPr="00F05FC4">
        <w:t>At Bristol Myers Squibb, we are inspired by a single vision – transforming patients’ lives through science. In oncology, hematology, immunology and cardiovascular disease – and one of the most diverse and promising pipelines in the industry – each of our passionate colleagues contribute to innovations that drive meaningful change. We bring a human touch to every treatment we pioneer. Join us and make a difference</w:t>
      </w:r>
      <w:r w:rsidR="00B77F39" w:rsidRPr="00F05FC4">
        <w:t>.</w:t>
      </w:r>
      <w:r w:rsidR="00CF0DB3" w:rsidRPr="00F05FC4">
        <w:tab/>
      </w:r>
    </w:p>
    <w:p w14:paraId="1303CB99" w14:textId="77777777" w:rsidR="00B77F39" w:rsidRPr="00F05FC4" w:rsidRDefault="00074199" w:rsidP="00CF0DB3">
      <w:pPr>
        <w:pStyle w:val="Heading5"/>
        <w:rPr>
          <w:color w:val="585454"/>
        </w:rPr>
      </w:pPr>
      <w:r w:rsidRPr="00F05FC4">
        <w:rPr>
          <w:color w:val="585454"/>
        </w:rPr>
        <w:t>Position Summary</w:t>
      </w:r>
    </w:p>
    <w:p w14:paraId="55906DF3" w14:textId="7B264DC1" w:rsidR="00C54915" w:rsidRPr="00F05FC4" w:rsidRDefault="002E7423" w:rsidP="00C54915">
      <w:pPr>
        <w:pStyle w:val="BodyText"/>
        <w:rPr>
          <w:rFonts w:eastAsia="Batang"/>
          <w:szCs w:val="22"/>
        </w:rPr>
      </w:pPr>
      <w:r w:rsidRPr="00600924">
        <w:t>Alig</w:t>
      </w:r>
      <w:r w:rsidR="00DA24EB" w:rsidRPr="00600924">
        <w:t>ning with our focus on cultural transformation</w:t>
      </w:r>
      <w:r w:rsidR="00DA24EB">
        <w:t xml:space="preserve"> towards diversity and inclusivity</w:t>
      </w:r>
      <w:r>
        <w:t>, the Bristol Myers Squibb Law Department is committed to fostering diversity and inclusion</w:t>
      </w:r>
      <w:r w:rsidR="00DA24EB">
        <w:t>,</w:t>
      </w:r>
      <w:r>
        <w:t xml:space="preserve"> </w:t>
      </w:r>
      <w:r w:rsidR="00CB7EC9">
        <w:t>both with</w:t>
      </w:r>
      <w:r>
        <w:t xml:space="preserve">in </w:t>
      </w:r>
      <w:r w:rsidR="00DA24EB">
        <w:t xml:space="preserve">our organization and </w:t>
      </w:r>
      <w:r w:rsidR="00CB7EC9">
        <w:t xml:space="preserve">in </w:t>
      </w:r>
      <w:r w:rsidR="00DA24EB">
        <w:t xml:space="preserve">the overall </w:t>
      </w:r>
      <w:r>
        <w:t xml:space="preserve">legal profession. The </w:t>
      </w:r>
      <w:r w:rsidR="00DA24EB">
        <w:t>Summer Internship Program</w:t>
      </w:r>
      <w:r>
        <w:t>, sponsored by the Law Department’s Diversity &amp; Inclusion Committee, is designed for law students</w:t>
      </w:r>
      <w:r w:rsidR="00982088">
        <w:t xml:space="preserve"> </w:t>
      </w:r>
      <w:r>
        <w:t xml:space="preserve">who are interested in experiencing the practice of law within a multifaceted and engaged corporate law department. </w:t>
      </w:r>
    </w:p>
    <w:p w14:paraId="73973066" w14:textId="3F048F0A" w:rsidR="00B77F39" w:rsidRPr="00F05FC4" w:rsidRDefault="00C54915" w:rsidP="00CF0DB3">
      <w:pPr>
        <w:pStyle w:val="Heading5"/>
        <w:rPr>
          <w:color w:val="585454"/>
        </w:rPr>
      </w:pPr>
      <w:r w:rsidRPr="00F05FC4">
        <w:rPr>
          <w:color w:val="585454"/>
        </w:rPr>
        <w:t>Program Details</w:t>
      </w:r>
    </w:p>
    <w:p w14:paraId="0A6155C6" w14:textId="1CD77F9D" w:rsidR="00A3182C" w:rsidRDefault="00A3182C" w:rsidP="00A3182C">
      <w:pPr>
        <w:pStyle w:val="BodyText"/>
      </w:pPr>
      <w:r w:rsidRPr="00600924">
        <w:t xml:space="preserve">The summer internship program offers law students valuable career development opportunities by providing client- and customer-focused assignments under the supervision of various members of our Law Department.  Interns will be assigned to specific groups within the Department, including </w:t>
      </w:r>
      <w:r w:rsidR="002A2EA2">
        <w:t xml:space="preserve">Commercialization Development Law and Market Compliance; </w:t>
      </w:r>
      <w:r w:rsidR="00CD5201">
        <w:t>C</w:t>
      </w:r>
      <w:r w:rsidRPr="00600924">
        <w:t>orporate/</w:t>
      </w:r>
      <w:r w:rsidR="0005082B">
        <w:t>T</w:t>
      </w:r>
      <w:r w:rsidRPr="00600924">
        <w:t>ransactional</w:t>
      </w:r>
      <w:r w:rsidR="00CD5201">
        <w:t>;</w:t>
      </w:r>
      <w:r w:rsidR="00BD7A80">
        <w:t xml:space="preserve"> </w:t>
      </w:r>
      <w:r w:rsidR="00CD5201">
        <w:t>G</w:t>
      </w:r>
      <w:r w:rsidRPr="00600924">
        <w:t xml:space="preserve">lobal </w:t>
      </w:r>
      <w:r w:rsidR="00CD5201">
        <w:t>P</w:t>
      </w:r>
      <w:r w:rsidRPr="00600924">
        <w:t xml:space="preserve">roduct </w:t>
      </w:r>
      <w:r w:rsidR="00CD5201">
        <w:t>D</w:t>
      </w:r>
      <w:r w:rsidRPr="00600924">
        <w:t xml:space="preserve">evelopment and </w:t>
      </w:r>
      <w:r w:rsidR="00CD5201">
        <w:t>S</w:t>
      </w:r>
      <w:r w:rsidRPr="00600924">
        <w:t>upply</w:t>
      </w:r>
      <w:r w:rsidR="00CD5201">
        <w:t>;</w:t>
      </w:r>
      <w:r w:rsidRPr="00600924">
        <w:t xml:space="preserve"> </w:t>
      </w:r>
      <w:r w:rsidR="005E45D4">
        <w:t>E</w:t>
      </w:r>
      <w:r w:rsidR="00CD5201">
        <w:t xml:space="preserve">mployment </w:t>
      </w:r>
      <w:r w:rsidR="005E45D4">
        <w:t>L</w:t>
      </w:r>
      <w:r w:rsidR="00CD5201">
        <w:t xml:space="preserve">aw; </w:t>
      </w:r>
      <w:r w:rsidR="005E45D4">
        <w:t>P</w:t>
      </w:r>
      <w:r w:rsidR="00CD5201">
        <w:t xml:space="preserve">atient, </w:t>
      </w:r>
      <w:r w:rsidR="005E45D4">
        <w:t>D</w:t>
      </w:r>
      <w:r w:rsidR="00CD5201">
        <w:t xml:space="preserve">ata &amp; </w:t>
      </w:r>
      <w:r w:rsidR="005E45D4">
        <w:t>P</w:t>
      </w:r>
      <w:r w:rsidR="00CD5201">
        <w:t>rivacy;</w:t>
      </w:r>
      <w:r w:rsidRPr="00600924">
        <w:t xml:space="preserve"> </w:t>
      </w:r>
      <w:r w:rsidR="005E45D4">
        <w:t>C</w:t>
      </w:r>
      <w:r w:rsidRPr="00600924">
        <w:t xml:space="preserve">orporate </w:t>
      </w:r>
      <w:r w:rsidR="005E45D4">
        <w:t>G</w:t>
      </w:r>
      <w:r w:rsidRPr="00600924">
        <w:t>overnance/</w:t>
      </w:r>
      <w:r w:rsidR="005E45D4">
        <w:t>S</w:t>
      </w:r>
      <w:r w:rsidRPr="00600924">
        <w:t>ecurities</w:t>
      </w:r>
      <w:r w:rsidR="005E45D4">
        <w:t>;</w:t>
      </w:r>
      <w:r w:rsidRPr="00600924">
        <w:t xml:space="preserve"> </w:t>
      </w:r>
      <w:r w:rsidR="005E45D4">
        <w:t>I</w:t>
      </w:r>
      <w:r w:rsidRPr="00600924">
        <w:t xml:space="preserve">ntellectual </w:t>
      </w:r>
      <w:r w:rsidR="00414874">
        <w:t>P</w:t>
      </w:r>
      <w:r w:rsidRPr="00600924">
        <w:t>roperty</w:t>
      </w:r>
      <w:r w:rsidR="00414874">
        <w:t>; Compliance and Ethics;</w:t>
      </w:r>
      <w:r w:rsidRPr="00600924">
        <w:t xml:space="preserve"> and </w:t>
      </w:r>
      <w:r w:rsidR="00414874">
        <w:t>L</w:t>
      </w:r>
      <w:r w:rsidRPr="00600924">
        <w:t xml:space="preserve">itigation. </w:t>
      </w:r>
      <w:r w:rsidR="00283E20">
        <w:t>T</w:t>
      </w:r>
      <w:r w:rsidRPr="00F05FC4">
        <w:t>he</w:t>
      </w:r>
      <w:r>
        <w:t>se</w:t>
      </w:r>
      <w:r w:rsidRPr="00F05FC4">
        <w:t xml:space="preserve"> positions are based</w:t>
      </w:r>
      <w:r w:rsidR="00CB7EC9">
        <w:t xml:space="preserve"> primarily</w:t>
      </w:r>
      <w:r w:rsidRPr="00F05FC4">
        <w:t xml:space="preserve"> at our offices in Central </w:t>
      </w:r>
      <w:r w:rsidR="00145909" w:rsidRPr="00F05FC4">
        <w:t>New Jersey</w:t>
      </w:r>
      <w:r w:rsidR="00145909">
        <w:t xml:space="preserve"> but</w:t>
      </w:r>
      <w:r w:rsidRPr="00F05FC4">
        <w:t xml:space="preserve"> may support multiple geographies</w:t>
      </w:r>
      <w:r w:rsidRPr="005E637E">
        <w:t>.</w:t>
      </w:r>
      <w:r w:rsidR="00E639CC" w:rsidRPr="005E637E">
        <w:t xml:space="preserve"> </w:t>
      </w:r>
      <w:r w:rsidR="00B769F7" w:rsidRPr="005E637E">
        <w:t xml:space="preserve"> S</w:t>
      </w:r>
      <w:r w:rsidRPr="005E637E">
        <w:t>ummer internships are paid, but not expected to lead to an offer of full-time employment.</w:t>
      </w:r>
    </w:p>
    <w:p w14:paraId="7B88C9AD" w14:textId="0581CB3C" w:rsidR="00C54915" w:rsidRPr="00F05FC4" w:rsidRDefault="00C54915" w:rsidP="00F25FF3">
      <w:pPr>
        <w:pStyle w:val="BodyText"/>
      </w:pPr>
      <w:r w:rsidRPr="00F05FC4">
        <w:t>In addition to gaining in-house experience, our program provides learning opportunities in different areas of the law relevant to the pharmaceutical industry.  Past activities have included direct exposure with clients and outside counsel, networking opportunities, seminars conducted by senior management, career development programs, tours of our manufacturing facilities</w:t>
      </w:r>
      <w:r w:rsidR="00CD1161">
        <w:t>,</w:t>
      </w:r>
      <w:r w:rsidRPr="00F05FC4">
        <w:t xml:space="preserve"> and an opportunity to present to </w:t>
      </w:r>
      <w:r w:rsidR="00DA24EB">
        <w:t>our</w:t>
      </w:r>
      <w:r w:rsidR="00DA24EB" w:rsidRPr="00F05FC4">
        <w:t xml:space="preserve"> </w:t>
      </w:r>
      <w:r w:rsidRPr="00F05FC4">
        <w:t>General Couns</w:t>
      </w:r>
      <w:r w:rsidR="00DA24EB">
        <w:t>el and her senior leadership team</w:t>
      </w:r>
      <w:r w:rsidRPr="00F05FC4">
        <w:t>.</w:t>
      </w:r>
    </w:p>
    <w:p w14:paraId="56411758" w14:textId="39D0A466" w:rsidR="00074199" w:rsidRPr="00F05FC4" w:rsidRDefault="00C54915" w:rsidP="00A85E2B">
      <w:pPr>
        <w:pStyle w:val="Heading5"/>
        <w:rPr>
          <w:color w:val="585454"/>
        </w:rPr>
      </w:pPr>
      <w:r w:rsidRPr="00F05FC4">
        <w:rPr>
          <w:color w:val="585454"/>
        </w:rPr>
        <w:t>The internship program will:</w:t>
      </w:r>
    </w:p>
    <w:p w14:paraId="7B7301F5" w14:textId="5ECB747F" w:rsidR="00C54915" w:rsidRPr="00F05FC4" w:rsidRDefault="00C54915" w:rsidP="00C54915">
      <w:pPr>
        <w:pStyle w:val="ListParagraph"/>
      </w:pPr>
      <w:r w:rsidRPr="00F05FC4">
        <w:t>Introduce law students to the varied and complex legal issues encountered in a corporate legal setting</w:t>
      </w:r>
    </w:p>
    <w:p w14:paraId="061F072C" w14:textId="2551BA85" w:rsidR="00C54915" w:rsidRPr="00F05FC4" w:rsidRDefault="00C54915" w:rsidP="00C54915">
      <w:pPr>
        <w:pStyle w:val="ListParagraph"/>
      </w:pPr>
      <w:r w:rsidRPr="00F05FC4">
        <w:t xml:space="preserve">Expose law students to various career paths available in a corporate legal setting </w:t>
      </w:r>
    </w:p>
    <w:p w14:paraId="732AE60B" w14:textId="334181B3" w:rsidR="00DA24EB" w:rsidRPr="00F05FC4" w:rsidRDefault="00C54915" w:rsidP="00C54915">
      <w:pPr>
        <w:pStyle w:val="ListParagraph"/>
      </w:pPr>
      <w:r w:rsidRPr="00F05FC4">
        <w:lastRenderedPageBreak/>
        <w:t xml:space="preserve">Match students with mentors </w:t>
      </w:r>
      <w:r w:rsidR="00DA24EB">
        <w:t xml:space="preserve">at </w:t>
      </w:r>
      <w:r w:rsidRPr="00F05FC4">
        <w:t>Bristol</w:t>
      </w:r>
      <w:r w:rsidR="009F7383" w:rsidRPr="00F05FC4">
        <w:t xml:space="preserve"> </w:t>
      </w:r>
      <w:r w:rsidRPr="00F05FC4">
        <w:t>Myers Squibb who can provide ongoing guidance on professional development throughout their academic and professional careers</w:t>
      </w:r>
    </w:p>
    <w:p w14:paraId="41F55A10" w14:textId="3A9359B8" w:rsidR="00C54915" w:rsidRPr="00F05FC4" w:rsidRDefault="00DA24EB" w:rsidP="00600924">
      <w:pPr>
        <w:pStyle w:val="ListParagraph"/>
      </w:pPr>
      <w:r w:rsidRPr="00600924">
        <w:t>Compensate interns in the amount of $10,000 over the course of a ten-week program</w:t>
      </w:r>
      <w:r w:rsidR="00CD1161">
        <w:t xml:space="preserve">, assuming </w:t>
      </w:r>
      <w:r w:rsidR="00B406CA">
        <w:t>they work</w:t>
      </w:r>
      <w:r w:rsidR="00562297">
        <w:t xml:space="preserve"> the expected 40 hours each week</w:t>
      </w:r>
      <w:r w:rsidR="00C6629F">
        <w:t xml:space="preserve">.  The program will run </w:t>
      </w:r>
      <w:r w:rsidR="002B7003">
        <w:t>from May 23, 2022 until July 29, 2022.</w:t>
      </w:r>
    </w:p>
    <w:p w14:paraId="5C75A9ED" w14:textId="77777777" w:rsidR="00C54915" w:rsidRPr="00F05FC4" w:rsidRDefault="00C54915" w:rsidP="00C54915"/>
    <w:p w14:paraId="058C7686" w14:textId="77777777" w:rsidR="00074199" w:rsidRPr="00F05FC4" w:rsidRDefault="00074199" w:rsidP="00CF0DB3">
      <w:pPr>
        <w:pStyle w:val="Heading5"/>
        <w:rPr>
          <w:color w:val="585454"/>
        </w:rPr>
      </w:pPr>
      <w:r w:rsidRPr="00F05FC4">
        <w:rPr>
          <w:color w:val="585454"/>
        </w:rPr>
        <w:t>Qualifications &amp; Experience</w:t>
      </w:r>
    </w:p>
    <w:p w14:paraId="65529FCF" w14:textId="7EA31869" w:rsidR="00A85E2B" w:rsidRPr="00F05FC4" w:rsidRDefault="00C54915" w:rsidP="00C43EB4">
      <w:pPr>
        <w:pStyle w:val="ListParagraph"/>
      </w:pPr>
      <w:r w:rsidRPr="00F05FC4">
        <w:t>Bristol</w:t>
      </w:r>
      <w:r w:rsidR="00A63E7B">
        <w:t xml:space="preserve"> </w:t>
      </w:r>
      <w:r w:rsidRPr="00F05FC4">
        <w:t>Myers Squibb is seeking qualified law students</w:t>
      </w:r>
      <w:r w:rsidR="00982088">
        <w:t xml:space="preserve"> </w:t>
      </w:r>
      <w:r w:rsidRPr="00F05FC4">
        <w:t xml:space="preserve">of diverse backgrounds who are interested in obtaining a unique experience within a world-class corporate law </w:t>
      </w:r>
      <w:r w:rsidR="00A63E7B">
        <w:t>department</w:t>
      </w:r>
      <w:r w:rsidRPr="00F05FC4">
        <w:t xml:space="preserve">. </w:t>
      </w:r>
    </w:p>
    <w:p w14:paraId="2E98E5EE" w14:textId="4F18AF4B" w:rsidR="00A85E2B" w:rsidRPr="00F05FC4" w:rsidRDefault="00C54915" w:rsidP="00C43EB4">
      <w:pPr>
        <w:pStyle w:val="ListParagraph"/>
      </w:pPr>
      <w:r w:rsidRPr="00F05FC4">
        <w:t xml:space="preserve">Students should have excellent academic credentials and communication skills. </w:t>
      </w:r>
      <w:r w:rsidR="00CB7EC9">
        <w:t>Applicants</w:t>
      </w:r>
      <w:r w:rsidRPr="00F05FC4">
        <w:t xml:space="preserve"> should also possess outstanding interpersonal skills, due to the high level of </w:t>
      </w:r>
      <w:r w:rsidR="00A63E7B">
        <w:t xml:space="preserve">contact with clients and leaders across the organization </w:t>
      </w:r>
      <w:r w:rsidRPr="00F05FC4">
        <w:t xml:space="preserve"> </w:t>
      </w:r>
    </w:p>
    <w:p w14:paraId="457DBF91" w14:textId="6E72E69B" w:rsidR="00C54915" w:rsidRPr="00F05FC4" w:rsidRDefault="0029051D" w:rsidP="00C43EB4">
      <w:pPr>
        <w:pStyle w:val="ListParagraph"/>
      </w:pPr>
      <w:r w:rsidRPr="00F05FC4">
        <w:t xml:space="preserve">A biology or chemistry background is strongly preferred for any candidates interested in patent law. </w:t>
      </w:r>
      <w:r w:rsidR="00C54915" w:rsidRPr="00F05FC4">
        <w:t xml:space="preserve"> </w:t>
      </w:r>
    </w:p>
    <w:p w14:paraId="532DFB16" w14:textId="01848BC7" w:rsidR="0029051D" w:rsidRPr="00F05FC4" w:rsidRDefault="0029051D" w:rsidP="0029051D">
      <w:pPr>
        <w:pStyle w:val="Heading5"/>
        <w:rPr>
          <w:color w:val="585454"/>
        </w:rPr>
      </w:pPr>
      <w:r w:rsidRPr="00F05FC4">
        <w:rPr>
          <w:color w:val="585454"/>
        </w:rPr>
        <w:t>How to Apply</w:t>
      </w:r>
    </w:p>
    <w:p w14:paraId="54F30BD0" w14:textId="5F5E6F4C" w:rsidR="0029051D" w:rsidRPr="00F05FC4" w:rsidRDefault="0091292C" w:rsidP="0091292C">
      <w:pPr>
        <w:pStyle w:val="BodyText"/>
      </w:pPr>
      <w:r w:rsidRPr="00F05FC4">
        <w:t>Students interested in applying for this corporate law department internship must</w:t>
      </w:r>
      <w:r w:rsidRPr="00F05FC4">
        <w:rPr>
          <w:b/>
        </w:rPr>
        <w:t xml:space="preserve"> </w:t>
      </w:r>
      <w:r w:rsidRPr="00F05FC4">
        <w:t xml:space="preserve">apply via the Bristol Myers Squibb Workday posting by </w:t>
      </w:r>
      <w:r w:rsidRPr="00F05FC4">
        <w:rPr>
          <w:u w:val="single"/>
        </w:rPr>
        <w:t xml:space="preserve">January </w:t>
      </w:r>
      <w:r w:rsidR="00485615">
        <w:rPr>
          <w:u w:val="single"/>
        </w:rPr>
        <w:t>1</w:t>
      </w:r>
      <w:r w:rsidR="002C27DE">
        <w:rPr>
          <w:u w:val="single"/>
        </w:rPr>
        <w:t>0</w:t>
      </w:r>
      <w:r w:rsidRPr="00F05FC4">
        <w:rPr>
          <w:u w:val="single"/>
        </w:rPr>
        <w:t>, 202</w:t>
      </w:r>
      <w:r w:rsidR="002C27DE">
        <w:rPr>
          <w:u w:val="single"/>
        </w:rPr>
        <w:t>2</w:t>
      </w:r>
      <w:r w:rsidR="00965208">
        <w:rPr>
          <w:u w:val="single"/>
        </w:rPr>
        <w:t>.</w:t>
      </w:r>
      <w:r w:rsidRPr="00F05FC4">
        <w:t xml:space="preserve"> </w:t>
      </w:r>
      <w:r w:rsidR="00A85E2B" w:rsidRPr="00F05FC4">
        <w:t xml:space="preserve">Applicants </w:t>
      </w:r>
      <w:r w:rsidRPr="00F05FC4">
        <w:t>must attach one PDF document with the applicant’s name as the title</w:t>
      </w:r>
      <w:r w:rsidR="00A85E2B" w:rsidRPr="00F05FC4">
        <w:t>,</w:t>
      </w:r>
      <w:r w:rsidRPr="00F05FC4">
        <w:t xml:space="preserve"> to their Workday application. The </w:t>
      </w:r>
      <w:r w:rsidR="00A63E7B">
        <w:t>application</w:t>
      </w:r>
      <w:r w:rsidR="00A63E7B" w:rsidRPr="00F05FC4">
        <w:t xml:space="preserve"> </w:t>
      </w:r>
      <w:r w:rsidRPr="00F05FC4">
        <w:t>must include the below items in the following order:</w:t>
      </w:r>
    </w:p>
    <w:p w14:paraId="5B8FD6D3" w14:textId="0D753BE9" w:rsidR="00F01737" w:rsidRPr="00F05FC4" w:rsidRDefault="00F01737" w:rsidP="00F01737">
      <w:pPr>
        <w:pStyle w:val="ListParagraph"/>
      </w:pPr>
      <w:r w:rsidRPr="00F05FC4">
        <w:t>A current resume</w:t>
      </w:r>
      <w:r w:rsidR="002B7003">
        <w:t xml:space="preserve"> (including </w:t>
      </w:r>
      <w:r w:rsidR="00D25E49">
        <w:t>current law school GPA, if available)</w:t>
      </w:r>
      <w:r>
        <w:t>; and</w:t>
      </w:r>
    </w:p>
    <w:p w14:paraId="7F92FB22" w14:textId="3A2BA88C" w:rsidR="0091292C" w:rsidRPr="00F05FC4" w:rsidRDefault="0091292C" w:rsidP="0091292C">
      <w:pPr>
        <w:pStyle w:val="ListParagraph"/>
      </w:pPr>
      <w:r w:rsidRPr="00F05FC4">
        <w:t xml:space="preserve">A cover letter </w:t>
      </w:r>
      <w:r w:rsidR="00D737B5">
        <w:t>containing</w:t>
      </w:r>
      <w:r w:rsidR="00F01737">
        <w:t xml:space="preserve"> the following information</w:t>
      </w:r>
      <w:r w:rsidRPr="00F05FC4">
        <w:t>:</w:t>
      </w:r>
    </w:p>
    <w:p w14:paraId="118CDF38" w14:textId="78098F91" w:rsidR="00AB3B06" w:rsidRPr="00F05FC4" w:rsidRDefault="00A63E7B" w:rsidP="00AB3B06">
      <w:pPr>
        <w:pStyle w:val="ListParagraph"/>
        <w:numPr>
          <w:ilvl w:val="1"/>
          <w:numId w:val="6"/>
        </w:numPr>
      </w:pPr>
      <w:r>
        <w:t xml:space="preserve">Name of </w:t>
      </w:r>
      <w:r w:rsidR="00AB3B06" w:rsidRPr="00F05FC4">
        <w:t>Law School</w:t>
      </w:r>
      <w:r>
        <w:t xml:space="preserve"> and </w:t>
      </w:r>
      <w:r w:rsidR="00AB3B06" w:rsidRPr="00F05FC4">
        <w:t xml:space="preserve">Expected Graduation Year </w:t>
      </w:r>
    </w:p>
    <w:p w14:paraId="4C95CE62" w14:textId="336F59B6" w:rsidR="00AB3B06" w:rsidRPr="00F05FC4" w:rsidRDefault="00AB3B06" w:rsidP="00AB3B06">
      <w:pPr>
        <w:pStyle w:val="ListParagraph"/>
        <w:numPr>
          <w:ilvl w:val="1"/>
          <w:numId w:val="6"/>
        </w:numPr>
      </w:pPr>
      <w:r w:rsidRPr="00F05FC4">
        <w:t>A numbered list of the student’s top 3 areas of interest</w:t>
      </w:r>
      <w:r w:rsidR="009634CC">
        <w:t xml:space="preserve"> in order of preference</w:t>
      </w:r>
      <w:r w:rsidR="00A63E7B">
        <w:t xml:space="preserve">.  Please choose 3 of the focus areas listed below. </w:t>
      </w:r>
    </w:p>
    <w:p w14:paraId="44B933C6" w14:textId="40439134" w:rsidR="0091292C" w:rsidRPr="00F05FC4" w:rsidRDefault="00196067" w:rsidP="0091292C">
      <w:pPr>
        <w:pStyle w:val="ListParagraph"/>
        <w:numPr>
          <w:ilvl w:val="1"/>
          <w:numId w:val="6"/>
        </w:numPr>
      </w:pPr>
      <w:bookmarkStart w:id="0" w:name="_Hlk89331234"/>
      <w:r w:rsidRPr="005E637E">
        <w:t>A statement about w</w:t>
      </w:r>
      <w:r w:rsidR="0091292C" w:rsidRPr="005E637E">
        <w:t>hy the</w:t>
      </w:r>
      <w:r w:rsidR="0091292C" w:rsidRPr="00F05FC4">
        <w:t xml:space="preserve"> student is an excellent candidate for the program and specifically how the student would contribute to the program</w:t>
      </w:r>
      <w:bookmarkEnd w:id="0"/>
      <w:r w:rsidR="0091292C" w:rsidRPr="00F05FC4">
        <w:t xml:space="preserve">. </w:t>
      </w:r>
    </w:p>
    <w:p w14:paraId="2603CBA8" w14:textId="6A0DDD5B" w:rsidR="0091292C" w:rsidRPr="00F05FC4" w:rsidRDefault="0091292C" w:rsidP="0091292C">
      <w:pPr>
        <w:pStyle w:val="ListParagraph"/>
        <w:numPr>
          <w:ilvl w:val="1"/>
          <w:numId w:val="6"/>
        </w:numPr>
      </w:pPr>
      <w:r w:rsidRPr="00F05FC4">
        <w:t xml:space="preserve">A statement of how </w:t>
      </w:r>
      <w:r w:rsidR="00A63E7B">
        <w:t>the student’s</w:t>
      </w:r>
      <w:r w:rsidR="00A63E7B" w:rsidRPr="00F05FC4">
        <w:t xml:space="preserve"> </w:t>
      </w:r>
      <w:r w:rsidRPr="00F05FC4">
        <w:t xml:space="preserve">life experiences have informed </w:t>
      </w:r>
      <w:r w:rsidR="00A63E7B">
        <w:t>their</w:t>
      </w:r>
      <w:r w:rsidR="00A63E7B" w:rsidRPr="00F05FC4">
        <w:t xml:space="preserve"> </w:t>
      </w:r>
      <w:r w:rsidRPr="00F05FC4">
        <w:t>views on the importance of diversity and inclusion</w:t>
      </w:r>
      <w:r w:rsidR="00A63E7B">
        <w:t xml:space="preserve"> in the workplace</w:t>
      </w:r>
      <w:r w:rsidRPr="00F05FC4">
        <w:t>.</w:t>
      </w:r>
    </w:p>
    <w:p w14:paraId="260B9724" w14:textId="4B1E823A" w:rsidR="00A85E2B" w:rsidRPr="00F05FC4" w:rsidRDefault="00764242" w:rsidP="00A85E2B">
      <w:pPr>
        <w:pStyle w:val="Heading5"/>
        <w:rPr>
          <w:color w:val="585454"/>
        </w:rPr>
      </w:pPr>
      <w:r>
        <w:rPr>
          <w:color w:val="585454"/>
        </w:rPr>
        <w:t>Areas of Focus and Associated Responsibilities</w:t>
      </w:r>
    </w:p>
    <w:p w14:paraId="25B20218" w14:textId="77777777" w:rsidR="00A85E2B" w:rsidRPr="00F05FC4" w:rsidRDefault="00A85E2B" w:rsidP="00A85E2B">
      <w:pPr>
        <w:ind w:left="360"/>
        <w:rPr>
          <w:b/>
          <w:bCs/>
        </w:rPr>
      </w:pPr>
    </w:p>
    <w:p w14:paraId="3907072B" w14:textId="77777777" w:rsidR="00A85E2B" w:rsidRPr="00F05FC4" w:rsidRDefault="00A85E2B" w:rsidP="00A85E2B">
      <w:pPr>
        <w:ind w:left="360"/>
        <w:rPr>
          <w:b/>
          <w:bCs/>
        </w:rPr>
      </w:pPr>
      <w:r w:rsidRPr="00F05FC4">
        <w:rPr>
          <w:b/>
          <w:bCs/>
        </w:rPr>
        <w:t>Commercialization and Development Law and Market Compliance</w:t>
      </w:r>
    </w:p>
    <w:p w14:paraId="5DAADC27" w14:textId="77777777" w:rsidR="00A85E2B" w:rsidRPr="00F05FC4" w:rsidRDefault="00A85E2B" w:rsidP="00A85E2B">
      <w:pPr>
        <w:pStyle w:val="ListParagraph"/>
      </w:pPr>
      <w:r w:rsidRPr="00F05FC4">
        <w:t xml:space="preserve">Develop an understanding of the legal and regulatory framework applicable to the commercialization and development of pharmaceutical products </w:t>
      </w:r>
    </w:p>
    <w:p w14:paraId="0E3D7D37" w14:textId="43B21726" w:rsidR="00A85E2B" w:rsidRDefault="00A85E2B" w:rsidP="00600924">
      <w:pPr>
        <w:pStyle w:val="ListParagraph"/>
      </w:pPr>
      <w:r w:rsidRPr="00F05FC4">
        <w:t xml:space="preserve">Provide solutions-oriented legal and regulatory advice to business teams </w:t>
      </w:r>
      <w:r w:rsidR="00764242">
        <w:t>regarding</w:t>
      </w:r>
      <w:r w:rsidRPr="00F05FC4">
        <w:t xml:space="preserve"> the sale and marketing of Bristol Myers Squibb products including the </w:t>
      </w:r>
      <w:r w:rsidR="00764242">
        <w:t xml:space="preserve">appropriate </w:t>
      </w:r>
      <w:r w:rsidRPr="00F05FC4">
        <w:t>development</w:t>
      </w:r>
      <w:r w:rsidR="00764242">
        <w:t xml:space="preserve"> and use</w:t>
      </w:r>
      <w:r w:rsidRPr="00F05FC4">
        <w:t xml:space="preserve"> of promotional and non-promotional </w:t>
      </w:r>
      <w:r w:rsidR="00764242">
        <w:t>materials</w:t>
      </w:r>
    </w:p>
    <w:p w14:paraId="222ED2CA" w14:textId="77777777" w:rsidR="00600924" w:rsidRPr="00F05FC4" w:rsidRDefault="00600924" w:rsidP="00600924">
      <w:pPr>
        <w:pStyle w:val="ListParagraph"/>
        <w:numPr>
          <w:ilvl w:val="0"/>
          <w:numId w:val="0"/>
        </w:numPr>
        <w:ind w:left="720"/>
      </w:pPr>
    </w:p>
    <w:p w14:paraId="67F96B63" w14:textId="77777777" w:rsidR="00A85E2B" w:rsidRPr="00F05FC4" w:rsidRDefault="00A85E2B" w:rsidP="00A85E2B">
      <w:pPr>
        <w:ind w:left="360"/>
        <w:rPr>
          <w:b/>
          <w:bCs/>
        </w:rPr>
      </w:pPr>
      <w:r w:rsidRPr="00F05FC4">
        <w:rPr>
          <w:b/>
          <w:bCs/>
        </w:rPr>
        <w:t>Transactional/Contracts</w:t>
      </w:r>
    </w:p>
    <w:p w14:paraId="6699AEF2" w14:textId="3439A2BE" w:rsidR="00A85E2B" w:rsidRPr="00F05FC4" w:rsidRDefault="00A85E2B" w:rsidP="00A85E2B">
      <w:pPr>
        <w:pStyle w:val="ListParagraph"/>
      </w:pPr>
      <w:r w:rsidRPr="00F05FC4">
        <w:t>Reviewing and drafting contract</w:t>
      </w:r>
      <w:r w:rsidR="00764242">
        <w:t>s</w:t>
      </w:r>
    </w:p>
    <w:p w14:paraId="30D96F07" w14:textId="222513FD" w:rsidR="00A85E2B" w:rsidRPr="00F05FC4" w:rsidRDefault="00764242" w:rsidP="00A85E2B">
      <w:pPr>
        <w:pStyle w:val="ListParagraph"/>
      </w:pPr>
      <w:r>
        <w:t>Attending</w:t>
      </w:r>
      <w:r w:rsidR="00A85E2B" w:rsidRPr="00F05FC4">
        <w:t xml:space="preserve"> counseling sessions with clients and negotiations with opposing counsel</w:t>
      </w:r>
    </w:p>
    <w:p w14:paraId="208535B6" w14:textId="77777777" w:rsidR="00A85E2B" w:rsidRPr="00F05FC4" w:rsidRDefault="00A85E2B" w:rsidP="00A85E2B">
      <w:pPr>
        <w:pStyle w:val="ListParagraph"/>
      </w:pPr>
      <w:r w:rsidRPr="00F05FC4">
        <w:lastRenderedPageBreak/>
        <w:t>Developing contract templates and negotiation playbooks</w:t>
      </w:r>
    </w:p>
    <w:p w14:paraId="316A5C9D" w14:textId="77777777" w:rsidR="00A85E2B" w:rsidRPr="00F05FC4" w:rsidRDefault="00A85E2B" w:rsidP="00A85E2B">
      <w:pPr>
        <w:pStyle w:val="ListParagraph"/>
      </w:pPr>
      <w:r w:rsidRPr="00F05FC4">
        <w:t>Researching evolving areas of transactional law</w:t>
      </w:r>
    </w:p>
    <w:p w14:paraId="586FB02D" w14:textId="77777777" w:rsidR="00A85E2B" w:rsidRPr="00F05FC4" w:rsidRDefault="00A85E2B" w:rsidP="00A85E2B">
      <w:pPr>
        <w:pStyle w:val="ListParagraph"/>
      </w:pPr>
      <w:r w:rsidRPr="00F05FC4">
        <w:t>Developing training programs for contracting teams</w:t>
      </w:r>
    </w:p>
    <w:p w14:paraId="4FC69094" w14:textId="77777777" w:rsidR="00A85E2B" w:rsidRPr="00F05FC4" w:rsidRDefault="00A85E2B" w:rsidP="00A85E2B">
      <w:pPr>
        <w:pStyle w:val="ListParagraph"/>
        <w:numPr>
          <w:ilvl w:val="0"/>
          <w:numId w:val="0"/>
        </w:numPr>
        <w:ind w:left="720"/>
      </w:pPr>
    </w:p>
    <w:p w14:paraId="0FA55CA1" w14:textId="77777777" w:rsidR="00A85E2B" w:rsidRPr="00F05FC4" w:rsidRDefault="00A85E2B" w:rsidP="00A85E2B">
      <w:pPr>
        <w:ind w:left="360"/>
        <w:rPr>
          <w:b/>
          <w:bCs/>
        </w:rPr>
      </w:pPr>
      <w:r w:rsidRPr="00F05FC4">
        <w:rPr>
          <w:b/>
          <w:bCs/>
        </w:rPr>
        <w:t>Employment Law</w:t>
      </w:r>
    </w:p>
    <w:p w14:paraId="55DF3E51" w14:textId="77777777" w:rsidR="00A85E2B" w:rsidRPr="00F05FC4" w:rsidRDefault="00A85E2B" w:rsidP="00A85E2B">
      <w:pPr>
        <w:pStyle w:val="ListParagraph"/>
      </w:pPr>
      <w:r w:rsidRPr="00F05FC4">
        <w:t xml:space="preserve">Developing knowledge of employment laws </w:t>
      </w:r>
    </w:p>
    <w:p w14:paraId="70667B3F" w14:textId="0E7F0748" w:rsidR="00A85E2B" w:rsidRPr="00F05FC4" w:rsidRDefault="00A85E2B" w:rsidP="00A85E2B">
      <w:pPr>
        <w:pStyle w:val="ListParagraph"/>
      </w:pPr>
      <w:r w:rsidRPr="00F05FC4">
        <w:t>Researching questions of law</w:t>
      </w:r>
    </w:p>
    <w:p w14:paraId="26930737" w14:textId="037C96E6" w:rsidR="00A85E2B" w:rsidRPr="00F05FC4" w:rsidRDefault="00A85E2B" w:rsidP="00A85E2B">
      <w:pPr>
        <w:pStyle w:val="ListParagraph"/>
      </w:pPr>
      <w:r w:rsidRPr="00F05FC4">
        <w:t xml:space="preserve">Participating in </w:t>
      </w:r>
      <w:r w:rsidR="00EC6E50">
        <w:t>client meetings</w:t>
      </w:r>
    </w:p>
    <w:p w14:paraId="71888F09" w14:textId="5DB59BB1" w:rsidR="00A85E2B" w:rsidRPr="00F05FC4" w:rsidRDefault="00A85E2B" w:rsidP="00A85E2B">
      <w:pPr>
        <w:pStyle w:val="ListParagraph"/>
      </w:pPr>
      <w:r w:rsidRPr="00F05FC4">
        <w:t xml:space="preserve">Helping to develop </w:t>
      </w:r>
      <w:r w:rsidR="00EC6E50" w:rsidRPr="00F05FC4">
        <w:t>polic</w:t>
      </w:r>
      <w:r w:rsidR="00EC6E50">
        <w:t>ies</w:t>
      </w:r>
      <w:r w:rsidR="00EC6E50" w:rsidRPr="00F05FC4">
        <w:t xml:space="preserve"> </w:t>
      </w:r>
      <w:r w:rsidRPr="00F05FC4">
        <w:t>or best practices</w:t>
      </w:r>
    </w:p>
    <w:p w14:paraId="746378C9" w14:textId="77777777" w:rsidR="00915B18" w:rsidRPr="002A3E40" w:rsidRDefault="00915B18" w:rsidP="00915B18">
      <w:pPr>
        <w:pStyle w:val="ListParagraph"/>
        <w:rPr>
          <w:rFonts w:eastAsiaTheme="minorHAnsi" w:cs="Calibri"/>
          <w:szCs w:val="20"/>
        </w:rPr>
      </w:pPr>
      <w:r w:rsidRPr="002A3E40">
        <w:t>Providing input on confidential employee investigations</w:t>
      </w:r>
    </w:p>
    <w:p w14:paraId="271DB02E" w14:textId="77777777" w:rsidR="00915B18" w:rsidRPr="002A3E40" w:rsidRDefault="00915B18" w:rsidP="00915B18">
      <w:pPr>
        <w:pStyle w:val="ListParagraph"/>
      </w:pPr>
      <w:r w:rsidRPr="002A3E40">
        <w:t>Attending mediations, depositions, and hearings for any ongoing employment litigation or dispute</w:t>
      </w:r>
    </w:p>
    <w:p w14:paraId="36623AC6" w14:textId="77777777" w:rsidR="00A85E2B" w:rsidRPr="00F05FC4" w:rsidRDefault="00A85E2B" w:rsidP="002A3E40"/>
    <w:p w14:paraId="4E43D6A3" w14:textId="77777777" w:rsidR="00D14413" w:rsidRDefault="00D14413" w:rsidP="00D14413">
      <w:pPr>
        <w:ind w:left="360"/>
        <w:rPr>
          <w:rFonts w:ascii="Calibri" w:eastAsiaTheme="minorHAnsi" w:hAnsi="Calibri" w:cs="Calibri"/>
          <w:b/>
          <w:bCs/>
          <w:color w:val="auto"/>
        </w:rPr>
      </w:pPr>
      <w:r>
        <w:rPr>
          <w:b/>
          <w:bCs/>
        </w:rPr>
        <w:t>Patient, Data &amp; Privacy Law</w:t>
      </w:r>
    </w:p>
    <w:p w14:paraId="1B8DF911" w14:textId="612F321F" w:rsidR="00D14413" w:rsidRDefault="00D14413" w:rsidP="00D14413">
      <w:pPr>
        <w:pStyle w:val="ListParagraph"/>
        <w:numPr>
          <w:ilvl w:val="0"/>
          <w:numId w:val="13"/>
        </w:numPr>
        <w:ind w:left="720"/>
      </w:pPr>
      <w:r>
        <w:t xml:space="preserve">Developing knowledge in the areas of privacy globally which includes following the development of new laws and regulations in this growing area </w:t>
      </w:r>
    </w:p>
    <w:p w14:paraId="3098D074" w14:textId="6AA2C7E5" w:rsidR="00D14413" w:rsidRDefault="00D14413" w:rsidP="00D14413">
      <w:pPr>
        <w:pStyle w:val="ListParagraph"/>
        <w:numPr>
          <w:ilvl w:val="0"/>
          <w:numId w:val="13"/>
        </w:numPr>
        <w:ind w:left="720"/>
      </w:pPr>
      <w:r>
        <w:t>Assisting with respect to legal questions concerning the conduct of clinical trials and related company initiatives</w:t>
      </w:r>
    </w:p>
    <w:p w14:paraId="7181AC5B" w14:textId="01DB86F8" w:rsidR="00D14413" w:rsidRDefault="00D14413" w:rsidP="00D14413">
      <w:pPr>
        <w:pStyle w:val="ListParagraph"/>
        <w:numPr>
          <w:ilvl w:val="0"/>
          <w:numId w:val="13"/>
        </w:numPr>
        <w:ind w:left="720"/>
      </w:pPr>
      <w:r>
        <w:t xml:space="preserve">Assisting practice group attorneys with respect to the issues concerning laws and regulations involving drug safety </w:t>
      </w:r>
    </w:p>
    <w:p w14:paraId="16BE246F" w14:textId="5DD58559" w:rsidR="00D14413" w:rsidRDefault="00D14413" w:rsidP="00D14413">
      <w:pPr>
        <w:pStyle w:val="ListParagraph"/>
        <w:numPr>
          <w:ilvl w:val="0"/>
          <w:numId w:val="13"/>
        </w:numPr>
        <w:ind w:left="720"/>
      </w:pPr>
      <w:r>
        <w:t>Building knowledge with respect to patient advocacy &amp; philanthropy and understanding available structures and mechanisms to assist patients in need</w:t>
      </w:r>
    </w:p>
    <w:p w14:paraId="17887617" w14:textId="77777777" w:rsidR="00D14413" w:rsidRDefault="00D14413" w:rsidP="00D14413">
      <w:pPr>
        <w:pStyle w:val="ListParagraph"/>
        <w:numPr>
          <w:ilvl w:val="0"/>
          <w:numId w:val="13"/>
        </w:numPr>
        <w:ind w:left="720"/>
      </w:pPr>
      <w:r>
        <w:t>Researching general questions of law as necessary</w:t>
      </w:r>
    </w:p>
    <w:p w14:paraId="692719EF" w14:textId="77777777" w:rsidR="00D14413" w:rsidRDefault="00D14413" w:rsidP="00D14413">
      <w:pPr>
        <w:pStyle w:val="ListParagraph"/>
        <w:numPr>
          <w:ilvl w:val="0"/>
          <w:numId w:val="13"/>
        </w:numPr>
        <w:ind w:left="720"/>
      </w:pPr>
      <w:r>
        <w:t>Participating in client meetings and legal practice group meetings</w:t>
      </w:r>
    </w:p>
    <w:p w14:paraId="3FF61765" w14:textId="77777777" w:rsidR="00B44F43" w:rsidRDefault="00B44F43" w:rsidP="00B44F43">
      <w:pPr>
        <w:ind w:left="360"/>
        <w:rPr>
          <w:b/>
          <w:bCs/>
        </w:rPr>
      </w:pPr>
    </w:p>
    <w:p w14:paraId="01053062" w14:textId="5C5EE7F9" w:rsidR="00A85E2B" w:rsidRPr="00B44F43" w:rsidRDefault="00A85E2B" w:rsidP="00B44F43">
      <w:pPr>
        <w:ind w:left="360"/>
        <w:rPr>
          <w:b/>
          <w:bCs/>
        </w:rPr>
      </w:pPr>
      <w:r w:rsidRPr="00B44F43">
        <w:rPr>
          <w:b/>
          <w:bCs/>
        </w:rPr>
        <w:t xml:space="preserve">Patents </w:t>
      </w:r>
    </w:p>
    <w:p w14:paraId="3F1DD912" w14:textId="77777777" w:rsidR="00A85E2B" w:rsidRPr="00F05FC4" w:rsidRDefault="00A85E2B" w:rsidP="00A85E2B">
      <w:pPr>
        <w:pStyle w:val="ListParagraph"/>
      </w:pPr>
      <w:r w:rsidRPr="00F05FC4">
        <w:t>Assisting in the preparation of USPTO and ex-US patent office responses</w:t>
      </w:r>
    </w:p>
    <w:p w14:paraId="771D6D97" w14:textId="77777777" w:rsidR="00A85E2B" w:rsidRPr="00F05FC4" w:rsidRDefault="00A85E2B" w:rsidP="00A85E2B">
      <w:pPr>
        <w:pStyle w:val="ListParagraph"/>
      </w:pPr>
      <w:r w:rsidRPr="00F05FC4">
        <w:t>Participating in counseling sessions with clients and litigation meetings</w:t>
      </w:r>
    </w:p>
    <w:p w14:paraId="3F022E4B" w14:textId="77777777" w:rsidR="00A85E2B" w:rsidRPr="00F05FC4" w:rsidRDefault="00A85E2B" w:rsidP="00A85E2B">
      <w:pPr>
        <w:pStyle w:val="ListParagraph"/>
      </w:pPr>
      <w:r w:rsidRPr="00F05FC4">
        <w:t>Researching areas of patent law</w:t>
      </w:r>
    </w:p>
    <w:p w14:paraId="51B6D793" w14:textId="6936B207" w:rsidR="00A85E2B" w:rsidRPr="00F05FC4" w:rsidRDefault="00A85E2B" w:rsidP="00A85E2B">
      <w:pPr>
        <w:pStyle w:val="ListParagraph"/>
      </w:pPr>
      <w:r w:rsidRPr="00F05FC4">
        <w:t>Developing knowledge of US and ex-US Patent Law</w:t>
      </w:r>
    </w:p>
    <w:p w14:paraId="6E79048E" w14:textId="77777777" w:rsidR="00A85E2B" w:rsidRPr="00F05FC4" w:rsidRDefault="00A85E2B" w:rsidP="00A85E2B">
      <w:pPr>
        <w:pStyle w:val="ListParagraph"/>
        <w:numPr>
          <w:ilvl w:val="0"/>
          <w:numId w:val="0"/>
        </w:numPr>
        <w:ind w:left="720"/>
      </w:pPr>
    </w:p>
    <w:p w14:paraId="20E63DDD" w14:textId="77777777" w:rsidR="00A85E2B" w:rsidRPr="00F05FC4" w:rsidRDefault="00A85E2B" w:rsidP="00A85E2B">
      <w:pPr>
        <w:ind w:left="360"/>
        <w:rPr>
          <w:b/>
          <w:bCs/>
        </w:rPr>
      </w:pPr>
      <w:r w:rsidRPr="00F05FC4">
        <w:rPr>
          <w:b/>
          <w:bCs/>
        </w:rPr>
        <w:t>Litigation</w:t>
      </w:r>
    </w:p>
    <w:p w14:paraId="3BE01B21" w14:textId="77777777" w:rsidR="00A85E2B" w:rsidRPr="00F05FC4" w:rsidRDefault="00A85E2B" w:rsidP="00A85E2B">
      <w:pPr>
        <w:pStyle w:val="ListParagraph"/>
      </w:pPr>
      <w:r w:rsidRPr="00F05FC4">
        <w:t>Attend witness meetings and court proceedings</w:t>
      </w:r>
    </w:p>
    <w:p w14:paraId="1F7DA4A5" w14:textId="40EDC671" w:rsidR="00A85E2B" w:rsidRPr="00F05FC4" w:rsidRDefault="00A85E2B" w:rsidP="00A85E2B">
      <w:pPr>
        <w:pStyle w:val="ListParagraph"/>
      </w:pPr>
      <w:r w:rsidRPr="00F05FC4">
        <w:t>Research issues</w:t>
      </w:r>
      <w:r w:rsidR="002A3E40">
        <w:t xml:space="preserve"> and prepare memoranda</w:t>
      </w:r>
      <w:r w:rsidRPr="00F05FC4">
        <w:t xml:space="preserve"> relating to litigation</w:t>
      </w:r>
      <w:r w:rsidR="00CD7951">
        <w:t xml:space="preserve">, including </w:t>
      </w:r>
      <w:r w:rsidR="00235CD9">
        <w:t xml:space="preserve">antitrust litigation, products liability, securities litigation, contract disputes, and </w:t>
      </w:r>
      <w:r w:rsidR="00CD7951">
        <w:t>patent litigation</w:t>
      </w:r>
    </w:p>
    <w:p w14:paraId="322217BF" w14:textId="19C59FF8" w:rsidR="00A85E2B" w:rsidRPr="00F05FC4" w:rsidRDefault="00A85E2B" w:rsidP="00A85E2B">
      <w:pPr>
        <w:pStyle w:val="ListParagraph"/>
      </w:pPr>
      <w:r w:rsidRPr="00F05FC4">
        <w:t>Participate in strategy calls and meetings</w:t>
      </w:r>
      <w:r w:rsidR="00E904F5">
        <w:t xml:space="preserve"> regarding litigation and government investigations</w:t>
      </w:r>
      <w:r w:rsidRPr="00F05FC4">
        <w:t xml:space="preserve"> </w:t>
      </w:r>
    </w:p>
    <w:p w14:paraId="2DE99B45" w14:textId="77777777" w:rsidR="00A85E2B" w:rsidRPr="00F05FC4" w:rsidRDefault="00A85E2B" w:rsidP="00A85E2B">
      <w:pPr>
        <w:pStyle w:val="ListParagraph"/>
        <w:numPr>
          <w:ilvl w:val="0"/>
          <w:numId w:val="0"/>
        </w:numPr>
        <w:ind w:left="720"/>
      </w:pPr>
    </w:p>
    <w:p w14:paraId="75F6709E" w14:textId="77777777" w:rsidR="00A85E2B" w:rsidRPr="00F05FC4" w:rsidRDefault="00A85E2B" w:rsidP="00A85E2B">
      <w:pPr>
        <w:ind w:left="360"/>
        <w:rPr>
          <w:b/>
          <w:bCs/>
        </w:rPr>
      </w:pPr>
      <w:r w:rsidRPr="00F05FC4">
        <w:rPr>
          <w:b/>
          <w:bCs/>
        </w:rPr>
        <w:t>Global Product Development and Supply</w:t>
      </w:r>
    </w:p>
    <w:p w14:paraId="0A4B5357" w14:textId="2D7614D3" w:rsidR="00A85E2B" w:rsidRPr="00F05FC4" w:rsidRDefault="00A85E2B" w:rsidP="00A85E2B">
      <w:pPr>
        <w:pStyle w:val="ListParagraph"/>
        <w:rPr>
          <w:rFonts w:cstheme="minorHAnsi"/>
        </w:rPr>
      </w:pPr>
      <w:r w:rsidRPr="00F05FC4">
        <w:rPr>
          <w:rFonts w:cstheme="minorHAnsi"/>
        </w:rPr>
        <w:t>Assist with responses to Health Authority inspections and internal audits in Quality, E</w:t>
      </w:r>
      <w:r w:rsidR="00FE6011">
        <w:rPr>
          <w:rFonts w:cstheme="minorHAnsi"/>
        </w:rPr>
        <w:t xml:space="preserve">nvironmental </w:t>
      </w:r>
      <w:r w:rsidRPr="00F05FC4">
        <w:rPr>
          <w:rFonts w:cstheme="minorHAnsi"/>
        </w:rPr>
        <w:t>H</w:t>
      </w:r>
      <w:r w:rsidR="00FE6011">
        <w:rPr>
          <w:rFonts w:cstheme="minorHAnsi"/>
        </w:rPr>
        <w:t xml:space="preserve">ealth and </w:t>
      </w:r>
      <w:r w:rsidRPr="00F05FC4">
        <w:rPr>
          <w:rFonts w:cstheme="minorHAnsi"/>
        </w:rPr>
        <w:t>S</w:t>
      </w:r>
      <w:r w:rsidR="00FE6011">
        <w:rPr>
          <w:rFonts w:cstheme="minorHAnsi"/>
        </w:rPr>
        <w:t>afety</w:t>
      </w:r>
      <w:r w:rsidRPr="00F05FC4">
        <w:rPr>
          <w:rFonts w:cstheme="minorHAnsi"/>
        </w:rPr>
        <w:t xml:space="preserve"> and other manufacturing matters</w:t>
      </w:r>
    </w:p>
    <w:p w14:paraId="06C8E07D" w14:textId="725899AC" w:rsidR="00A85E2B" w:rsidRPr="00F05FC4" w:rsidRDefault="00A85E2B" w:rsidP="00A85E2B">
      <w:pPr>
        <w:pStyle w:val="ListParagraph"/>
        <w:rPr>
          <w:rFonts w:cstheme="minorHAnsi"/>
        </w:rPr>
      </w:pPr>
      <w:r w:rsidRPr="00F05FC4">
        <w:rPr>
          <w:rFonts w:cstheme="minorHAnsi"/>
        </w:rPr>
        <w:lastRenderedPageBreak/>
        <w:t>Participate in meetings regarding manufacturing, distribution, quality, supply chain and</w:t>
      </w:r>
      <w:r w:rsidR="00EC6E50">
        <w:rPr>
          <w:rFonts w:cstheme="minorHAnsi"/>
        </w:rPr>
        <w:t xml:space="preserve"> </w:t>
      </w:r>
      <w:r w:rsidRPr="00F05FC4">
        <w:rPr>
          <w:rFonts w:cstheme="minorHAnsi"/>
        </w:rPr>
        <w:t>product</w:t>
      </w:r>
      <w:r w:rsidRPr="00F05FC4">
        <w:rPr>
          <w:rFonts w:cstheme="minorHAnsi"/>
        </w:rPr>
        <w:tab/>
        <w:t xml:space="preserve"> development </w:t>
      </w:r>
    </w:p>
    <w:p w14:paraId="6358D182" w14:textId="77777777" w:rsidR="00A85E2B" w:rsidRPr="00F05FC4" w:rsidRDefault="00A85E2B" w:rsidP="00A85E2B">
      <w:pPr>
        <w:pStyle w:val="ListParagraph"/>
        <w:rPr>
          <w:rFonts w:cstheme="minorHAnsi"/>
        </w:rPr>
      </w:pPr>
      <w:r w:rsidRPr="00F05FC4">
        <w:rPr>
          <w:rFonts w:cstheme="minorHAnsi"/>
        </w:rPr>
        <w:t xml:space="preserve">Review and edit third party agreements in connection with manufacturing, </w:t>
      </w:r>
      <w:proofErr w:type="gramStart"/>
      <w:r w:rsidRPr="00F05FC4">
        <w:rPr>
          <w:rFonts w:cstheme="minorHAnsi"/>
        </w:rPr>
        <w:t>supply</w:t>
      </w:r>
      <w:proofErr w:type="gramEnd"/>
      <w:r w:rsidRPr="00F05FC4">
        <w:rPr>
          <w:rFonts w:cstheme="minorHAnsi"/>
        </w:rPr>
        <w:t xml:space="preserve"> and distribution of BMS products</w:t>
      </w:r>
    </w:p>
    <w:p w14:paraId="616A479C" w14:textId="51EBB180" w:rsidR="00A85E2B" w:rsidRPr="00F05FC4" w:rsidRDefault="00A85E2B" w:rsidP="00A85E2B">
      <w:pPr>
        <w:pStyle w:val="ListParagraph"/>
        <w:rPr>
          <w:rFonts w:cstheme="minorHAnsi"/>
        </w:rPr>
      </w:pPr>
      <w:r w:rsidRPr="00F05FC4">
        <w:rPr>
          <w:rFonts w:cstheme="minorHAnsi"/>
        </w:rPr>
        <w:t>Assist with development of contract templates and training programs for contracting teams</w:t>
      </w:r>
    </w:p>
    <w:p w14:paraId="454A0E47" w14:textId="77777777" w:rsidR="00A85E2B" w:rsidRPr="00F05FC4" w:rsidRDefault="00A85E2B" w:rsidP="00A85E2B">
      <w:pPr>
        <w:pStyle w:val="ListParagraph"/>
        <w:rPr>
          <w:rFonts w:cstheme="minorHAnsi"/>
        </w:rPr>
      </w:pPr>
      <w:r w:rsidRPr="00F05FC4">
        <w:rPr>
          <w:rFonts w:cstheme="minorHAnsi"/>
        </w:rPr>
        <w:t>Research issues regarding Quality, Safety, Regulations, Customs and Trade (Import and Export)</w:t>
      </w:r>
    </w:p>
    <w:p w14:paraId="45129521" w14:textId="77777777" w:rsidR="00A85E2B" w:rsidRPr="00F05FC4" w:rsidRDefault="00A85E2B" w:rsidP="00A85E2B">
      <w:pPr>
        <w:pStyle w:val="ListParagraph"/>
        <w:numPr>
          <w:ilvl w:val="0"/>
          <w:numId w:val="0"/>
        </w:numPr>
        <w:ind w:left="720"/>
        <w:rPr>
          <w:rFonts w:cstheme="minorHAnsi"/>
        </w:rPr>
      </w:pPr>
    </w:p>
    <w:p w14:paraId="74EFFCEF" w14:textId="77777777" w:rsidR="00A85E2B" w:rsidRPr="00F05FC4" w:rsidRDefault="00A85E2B" w:rsidP="00A85E2B">
      <w:pPr>
        <w:ind w:left="360"/>
        <w:rPr>
          <w:b/>
          <w:bCs/>
        </w:rPr>
      </w:pPr>
      <w:r w:rsidRPr="00F05FC4">
        <w:rPr>
          <w:b/>
          <w:bCs/>
        </w:rPr>
        <w:t>Corporate Governance/Securities</w:t>
      </w:r>
    </w:p>
    <w:p w14:paraId="35C756E2" w14:textId="5A054B26" w:rsidR="00A85E2B" w:rsidRPr="00F05FC4" w:rsidRDefault="00A85E2B" w:rsidP="00C43EB4">
      <w:pPr>
        <w:pStyle w:val="ListParagraph"/>
      </w:pPr>
      <w:r w:rsidRPr="00F05FC4">
        <w:t>Develop a</w:t>
      </w:r>
      <w:r w:rsidR="00EC6E50">
        <w:t>n</w:t>
      </w:r>
      <w:r w:rsidRPr="00F05FC4">
        <w:t xml:space="preserve"> understanding of U.S. Securities laws and general corporate governance principles</w:t>
      </w:r>
    </w:p>
    <w:p w14:paraId="3B5CF1E5" w14:textId="77777777" w:rsidR="00A85E2B" w:rsidRPr="00F05FC4" w:rsidRDefault="00A85E2B" w:rsidP="00C43EB4">
      <w:pPr>
        <w:pStyle w:val="ListParagraph"/>
      </w:pPr>
      <w:r w:rsidRPr="00F05FC4">
        <w:t>Review and update public securities disclosures, including proxy statement for annual shareholder meeting</w:t>
      </w:r>
    </w:p>
    <w:p w14:paraId="77B8B734" w14:textId="77777777" w:rsidR="00A85E2B" w:rsidRPr="00F05FC4" w:rsidRDefault="00A85E2B" w:rsidP="00C43EB4">
      <w:pPr>
        <w:pStyle w:val="ListParagraph"/>
      </w:pPr>
      <w:r w:rsidRPr="00F05FC4">
        <w:t>Research and benchmark evolving trends and updates in corporate governance</w:t>
      </w:r>
    </w:p>
    <w:p w14:paraId="04593E01" w14:textId="0E058E63" w:rsidR="00A85E2B" w:rsidRDefault="00A85E2B" w:rsidP="00C43EB4">
      <w:pPr>
        <w:pStyle w:val="ListParagraph"/>
      </w:pPr>
      <w:r w:rsidRPr="00F05FC4">
        <w:t>Participate in quarterly disclosure process, including attending disclosure committee meetings and reviewing and editing quarterly report on Form 10-Q</w:t>
      </w:r>
    </w:p>
    <w:p w14:paraId="0634116F" w14:textId="77777777" w:rsidR="00E1459E" w:rsidRPr="00F05FC4" w:rsidRDefault="00E1459E" w:rsidP="00B769F7">
      <w:pPr>
        <w:pStyle w:val="ListParagraph"/>
        <w:numPr>
          <w:ilvl w:val="0"/>
          <w:numId w:val="0"/>
        </w:numPr>
        <w:ind w:left="720"/>
      </w:pPr>
    </w:p>
    <w:p w14:paraId="7101256E" w14:textId="77777777" w:rsidR="00E1459E" w:rsidRDefault="00E1459E" w:rsidP="000C04AF">
      <w:pPr>
        <w:ind w:left="360"/>
        <w:rPr>
          <w:rFonts w:ascii="Calibri" w:eastAsiaTheme="minorHAnsi" w:hAnsi="Calibri" w:cs="Calibri"/>
          <w:b/>
          <w:bCs/>
          <w:color w:val="auto"/>
        </w:rPr>
      </w:pPr>
      <w:r>
        <w:rPr>
          <w:b/>
          <w:bCs/>
        </w:rPr>
        <w:t>Compliance &amp; Ethics</w:t>
      </w:r>
    </w:p>
    <w:p w14:paraId="7DCDAB06" w14:textId="77777777" w:rsidR="00E1459E" w:rsidRDefault="00E1459E" w:rsidP="00E1459E">
      <w:pPr>
        <w:numPr>
          <w:ilvl w:val="0"/>
          <w:numId w:val="14"/>
        </w:numPr>
        <w:spacing w:before="240" w:line="240" w:lineRule="auto"/>
        <w:rPr>
          <w:rFonts w:eastAsia="Times New Roman"/>
        </w:rPr>
      </w:pPr>
      <w:r>
        <w:rPr>
          <w:rFonts w:eastAsia="Times New Roman"/>
        </w:rPr>
        <w:t>Develop an understanding of how the Compliance &amp; Ethics team empowers BMS to lead with integrity and protect the interests of the company and its patients</w:t>
      </w:r>
    </w:p>
    <w:p w14:paraId="333FA42E" w14:textId="63699C72" w:rsidR="00E1459E" w:rsidRDefault="00E1459E" w:rsidP="00E1459E">
      <w:pPr>
        <w:numPr>
          <w:ilvl w:val="0"/>
          <w:numId w:val="14"/>
        </w:numPr>
        <w:spacing w:before="240" w:line="240" w:lineRule="auto"/>
        <w:rPr>
          <w:rFonts w:eastAsia="Times New Roman"/>
        </w:rPr>
      </w:pPr>
      <w:r>
        <w:rPr>
          <w:rFonts w:eastAsia="Times New Roman"/>
        </w:rPr>
        <w:t>Gain exposure to the four Compliance &amp; Ethics Centers of Expertise (Integrity Line &amp; Investigations; Monitoring, Analytics &amp; Third</w:t>
      </w:r>
      <w:r w:rsidR="00E37939">
        <w:rPr>
          <w:rFonts w:eastAsia="Times New Roman"/>
        </w:rPr>
        <w:t>-</w:t>
      </w:r>
      <w:r>
        <w:rPr>
          <w:rFonts w:eastAsia="Times New Roman"/>
        </w:rPr>
        <w:t>Party Due Diligence; Education, Communication, Procedural Documents, Ombudsman; and Global Market Compliance and Compliance Committees)</w:t>
      </w:r>
    </w:p>
    <w:p w14:paraId="70690C9D" w14:textId="77777777" w:rsidR="00E1459E" w:rsidRDefault="00E1459E" w:rsidP="00E1459E">
      <w:pPr>
        <w:numPr>
          <w:ilvl w:val="0"/>
          <w:numId w:val="14"/>
        </w:numPr>
        <w:spacing w:before="240" w:line="240" w:lineRule="auto"/>
        <w:rPr>
          <w:rFonts w:eastAsia="Times New Roman"/>
        </w:rPr>
      </w:pPr>
      <w:r>
        <w:rPr>
          <w:rFonts w:eastAsia="Times New Roman"/>
        </w:rPr>
        <w:t>Assist with data analytics and third-party due diligence projects to drive compliance with healthcare laws and regulations globally (e.g., FCPA, anti-kickback, PhRMA code, etc.)</w:t>
      </w:r>
    </w:p>
    <w:p w14:paraId="25966589" w14:textId="77777777" w:rsidR="00E1459E" w:rsidRDefault="00E1459E" w:rsidP="00E1459E">
      <w:pPr>
        <w:numPr>
          <w:ilvl w:val="0"/>
          <w:numId w:val="14"/>
        </w:numPr>
        <w:spacing w:before="240" w:line="240" w:lineRule="auto"/>
        <w:rPr>
          <w:rFonts w:eastAsia="Times New Roman"/>
        </w:rPr>
      </w:pPr>
      <w:r>
        <w:rPr>
          <w:rFonts w:eastAsia="Times New Roman"/>
        </w:rPr>
        <w:t>Participate in global compliance projects with opportunities to learn about our global Compliance &amp; Ethics Program and engage with compliance colleagues from around the world.</w:t>
      </w:r>
    </w:p>
    <w:p w14:paraId="4E797D10" w14:textId="77777777" w:rsidR="00E1459E" w:rsidRDefault="00E1459E" w:rsidP="00E1459E">
      <w:pPr>
        <w:numPr>
          <w:ilvl w:val="0"/>
          <w:numId w:val="14"/>
        </w:numPr>
        <w:spacing w:before="240" w:line="240" w:lineRule="auto"/>
        <w:rPr>
          <w:rFonts w:eastAsia="Times New Roman"/>
        </w:rPr>
      </w:pPr>
      <w:r>
        <w:rPr>
          <w:rFonts w:eastAsia="Times New Roman"/>
        </w:rPr>
        <w:t>Research issues relating to internal investigations</w:t>
      </w:r>
    </w:p>
    <w:p w14:paraId="50422C7C" w14:textId="7C1B7C55" w:rsidR="00B77F39" w:rsidRPr="00F05FC4" w:rsidRDefault="00CF0DB3" w:rsidP="00CF0DB3">
      <w:pPr>
        <w:pStyle w:val="Heading5"/>
        <w:rPr>
          <w:rStyle w:val="Strong"/>
          <w:b/>
          <w:bCs w:val="0"/>
          <w:color w:val="585454"/>
        </w:rPr>
      </w:pPr>
      <w:r w:rsidRPr="00F05FC4">
        <w:rPr>
          <w:rStyle w:val="Strong"/>
          <w:b/>
          <w:bCs w:val="0"/>
          <w:color w:val="585454"/>
        </w:rPr>
        <w:t>Why You Should</w:t>
      </w:r>
      <w:r w:rsidR="00B77F39" w:rsidRPr="00F05FC4">
        <w:rPr>
          <w:rStyle w:val="Strong"/>
          <w:b/>
          <w:bCs w:val="0"/>
          <w:color w:val="585454"/>
        </w:rPr>
        <w:t xml:space="preserve"> Apply</w:t>
      </w:r>
    </w:p>
    <w:p w14:paraId="15B16485" w14:textId="77777777" w:rsidR="00CF0DB3" w:rsidRPr="00F05FC4" w:rsidRDefault="00CF0DB3" w:rsidP="00CF0DB3">
      <w:pPr>
        <w:pStyle w:val="BodyText"/>
      </w:pPr>
      <w:r w:rsidRPr="00F05FC4">
        <w:t xml:space="preserve">Around the world, we are passionate about making an impact on the lives of patients with serious diseases. Empowered to apply our individual talents and diverse perspectives in an inclusive culture, our shared values of passion, innovation, urgency, accountability, </w:t>
      </w:r>
      <w:proofErr w:type="gramStart"/>
      <w:r w:rsidRPr="00F05FC4">
        <w:t>inclusion</w:t>
      </w:r>
      <w:proofErr w:type="gramEnd"/>
      <w:r w:rsidRPr="00F05FC4">
        <w:t xml:space="preserve"> and integrity bring out the highest potential of each of our colleagues.</w:t>
      </w:r>
    </w:p>
    <w:sectPr w:rsidR="00CF0DB3" w:rsidRPr="00F05FC4" w:rsidSect="00CF0DB3">
      <w:headerReference w:type="default" r:id="rId11"/>
      <w:footerReference w:type="default" r:id="rId12"/>
      <w:headerReference w:type="first" r:id="rId13"/>
      <w:footerReference w:type="first" r:id="rId14"/>
      <w:pgSz w:w="12240" w:h="15840"/>
      <w:pgMar w:top="1766"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74133" w14:textId="77777777" w:rsidR="00A114B5" w:rsidRDefault="00A114B5" w:rsidP="000C4289">
      <w:r>
        <w:separator/>
      </w:r>
    </w:p>
  </w:endnote>
  <w:endnote w:type="continuationSeparator" w:id="0">
    <w:p w14:paraId="599477A7" w14:textId="77777777" w:rsidR="00A114B5" w:rsidRDefault="00A114B5" w:rsidP="000C4289">
      <w:r>
        <w:continuationSeparator/>
      </w:r>
    </w:p>
  </w:endnote>
  <w:endnote w:type="continuationNotice" w:id="1">
    <w:p w14:paraId="5221B54D" w14:textId="77777777" w:rsidR="00A114B5" w:rsidRDefault="00A114B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Cs w:val="20"/>
      </w:rPr>
      <w:id w:val="1273828161"/>
      <w:docPartObj>
        <w:docPartGallery w:val="Page Numbers (Bottom of Page)"/>
        <w:docPartUnique/>
      </w:docPartObj>
    </w:sdtPr>
    <w:sdtEndPr>
      <w:rPr>
        <w:rStyle w:val="PageNumber"/>
      </w:rPr>
    </w:sdtEndPr>
    <w:sdtContent>
      <w:p w14:paraId="15C1F1C1" w14:textId="1064C0DF" w:rsidR="00AD10DD" w:rsidRPr="00E5522A" w:rsidRDefault="00AD10DD" w:rsidP="00AD10DD">
        <w:pPr>
          <w:pStyle w:val="Footer"/>
          <w:framePr w:wrap="none" w:vAnchor="text" w:hAnchor="page" w:x="11281" w:y="1"/>
          <w:rPr>
            <w:rStyle w:val="PageNumber"/>
            <w:szCs w:val="20"/>
          </w:rPr>
        </w:pPr>
        <w:r w:rsidRPr="00E5522A">
          <w:rPr>
            <w:rStyle w:val="PageNumber"/>
            <w:szCs w:val="20"/>
          </w:rPr>
          <w:t xml:space="preserve">Page </w:t>
        </w:r>
        <w:r w:rsidRPr="00E5522A">
          <w:rPr>
            <w:rStyle w:val="PageNumber"/>
            <w:szCs w:val="20"/>
          </w:rPr>
          <w:fldChar w:fldCharType="begin"/>
        </w:r>
        <w:r w:rsidRPr="00E5522A">
          <w:rPr>
            <w:rStyle w:val="PageNumber"/>
            <w:szCs w:val="20"/>
          </w:rPr>
          <w:instrText xml:space="preserve"> PAGE </w:instrText>
        </w:r>
        <w:r w:rsidRPr="00E5522A">
          <w:rPr>
            <w:rStyle w:val="PageNumber"/>
            <w:szCs w:val="20"/>
          </w:rPr>
          <w:fldChar w:fldCharType="separate"/>
        </w:r>
        <w:r w:rsidR="00E1459E">
          <w:rPr>
            <w:rStyle w:val="PageNumber"/>
            <w:noProof/>
            <w:szCs w:val="20"/>
          </w:rPr>
          <w:t>4</w:t>
        </w:r>
        <w:r w:rsidRPr="00E5522A">
          <w:rPr>
            <w:rStyle w:val="PageNumber"/>
            <w:szCs w:val="20"/>
          </w:rPr>
          <w:fldChar w:fldCharType="end"/>
        </w:r>
      </w:p>
    </w:sdtContent>
  </w:sdt>
  <w:p w14:paraId="4C64271E" w14:textId="77777777" w:rsidR="000C4289" w:rsidRPr="00FE7095" w:rsidRDefault="009873EC" w:rsidP="00FE7095">
    <w:pPr>
      <w:pStyle w:val="Footer"/>
      <w:ind w:hanging="360"/>
      <w:rPr>
        <w:color w:val="BE2BBB"/>
      </w:rPr>
    </w:pPr>
    <w:r w:rsidRPr="00FE7095">
      <w:rPr>
        <w:noProof/>
        <w:color w:val="BE2BBB"/>
      </w:rPr>
      <w:drawing>
        <wp:anchor distT="0" distB="0" distL="114300" distR="114300" simplePos="0" relativeHeight="251658241" behindDoc="1" locked="0" layoutInCell="1" allowOverlap="1" wp14:anchorId="31B76739" wp14:editId="63FFC7C0">
          <wp:simplePos x="0" y="0"/>
          <wp:positionH relativeFrom="column">
            <wp:posOffset>-454937</wp:posOffset>
          </wp:positionH>
          <wp:positionV relativeFrom="paragraph">
            <wp:posOffset>-258445</wp:posOffset>
          </wp:positionV>
          <wp:extent cx="7772400" cy="889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20-109-TransformingFooter-05132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9000"/>
                  </a:xfrm>
                  <a:prstGeom prst="rect">
                    <a:avLst/>
                  </a:prstGeom>
                </pic:spPr>
              </pic:pic>
            </a:graphicData>
          </a:graphic>
          <wp14:sizeRelH relativeFrom="page">
            <wp14:pctWidth>0</wp14:pctWidth>
          </wp14:sizeRelH>
          <wp14:sizeRelV relativeFrom="page">
            <wp14:pctHeight>0</wp14:pctHeight>
          </wp14:sizeRelV>
        </wp:anchor>
      </w:drawing>
    </w:r>
    <w:r w:rsidR="00FE7095" w:rsidRPr="00FE7095">
      <w:rPr>
        <w:color w:val="BE2BBB"/>
      </w:rPr>
      <w:t>bms.com/careers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Cs w:val="20"/>
      </w:rPr>
      <w:id w:val="921756206"/>
      <w:docPartObj>
        <w:docPartGallery w:val="Page Numbers (Bottom of Page)"/>
        <w:docPartUnique/>
      </w:docPartObj>
    </w:sdtPr>
    <w:sdtEndPr>
      <w:rPr>
        <w:rStyle w:val="PageNumber"/>
      </w:rPr>
    </w:sdtEndPr>
    <w:sdtContent>
      <w:p w14:paraId="78C57158" w14:textId="19428CC8" w:rsidR="00AD10DD" w:rsidRPr="00E5522A" w:rsidRDefault="00AD10DD" w:rsidP="00AD10DD">
        <w:pPr>
          <w:pStyle w:val="Footer"/>
          <w:framePr w:wrap="none" w:vAnchor="text" w:hAnchor="page" w:x="11281" w:y="1"/>
          <w:rPr>
            <w:rStyle w:val="PageNumber"/>
            <w:szCs w:val="20"/>
          </w:rPr>
        </w:pPr>
        <w:r w:rsidRPr="00E5522A">
          <w:rPr>
            <w:rStyle w:val="PageNumber"/>
            <w:szCs w:val="20"/>
          </w:rPr>
          <w:t xml:space="preserve">Page </w:t>
        </w:r>
        <w:r w:rsidRPr="00E5522A">
          <w:rPr>
            <w:rStyle w:val="PageNumber"/>
            <w:szCs w:val="20"/>
          </w:rPr>
          <w:fldChar w:fldCharType="begin"/>
        </w:r>
        <w:r w:rsidRPr="00E5522A">
          <w:rPr>
            <w:rStyle w:val="PageNumber"/>
            <w:szCs w:val="20"/>
          </w:rPr>
          <w:instrText xml:space="preserve"> PAGE </w:instrText>
        </w:r>
        <w:r w:rsidRPr="00E5522A">
          <w:rPr>
            <w:rStyle w:val="PageNumber"/>
            <w:szCs w:val="20"/>
          </w:rPr>
          <w:fldChar w:fldCharType="separate"/>
        </w:r>
        <w:r w:rsidR="00E1459E">
          <w:rPr>
            <w:rStyle w:val="PageNumber"/>
            <w:noProof/>
            <w:szCs w:val="20"/>
          </w:rPr>
          <w:t>1</w:t>
        </w:r>
        <w:r w:rsidRPr="00E5522A">
          <w:rPr>
            <w:rStyle w:val="PageNumber"/>
            <w:szCs w:val="20"/>
          </w:rPr>
          <w:fldChar w:fldCharType="end"/>
        </w:r>
      </w:p>
    </w:sdtContent>
  </w:sdt>
  <w:p w14:paraId="499A2BDD" w14:textId="77777777" w:rsidR="00FE7095" w:rsidRPr="00A30614" w:rsidRDefault="00A30614" w:rsidP="00A30614">
    <w:pPr>
      <w:pStyle w:val="Footer"/>
      <w:ind w:hanging="360"/>
      <w:rPr>
        <w:color w:val="BE2BBB"/>
      </w:rPr>
    </w:pPr>
    <w:r w:rsidRPr="00FE7095">
      <w:rPr>
        <w:color w:val="BE2BBB"/>
      </w:rPr>
      <w:t>bms.com/careers</w:t>
    </w:r>
    <w:r w:rsidR="00FE7095" w:rsidRPr="00FE7095">
      <w:rPr>
        <w:noProof/>
        <w:color w:val="BE2BBB"/>
      </w:rPr>
      <w:drawing>
        <wp:anchor distT="0" distB="0" distL="114300" distR="114300" simplePos="0" relativeHeight="251658243" behindDoc="1" locked="0" layoutInCell="1" allowOverlap="1" wp14:anchorId="6DB5143F" wp14:editId="56D6959E">
          <wp:simplePos x="0" y="0"/>
          <wp:positionH relativeFrom="column">
            <wp:posOffset>-445477</wp:posOffset>
          </wp:positionH>
          <wp:positionV relativeFrom="paragraph">
            <wp:posOffset>185371</wp:posOffset>
          </wp:positionV>
          <wp:extent cx="7772400" cy="431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S20-109-TransformingFooter-051320.jpg"/>
                  <pic:cNvPicPr/>
                </pic:nvPicPr>
                <pic:blipFill rotWithShape="1">
                  <a:blip r:embed="rId1">
                    <a:extLst>
                      <a:ext uri="{28A0092B-C50C-407E-A947-70E740481C1C}">
                        <a14:useLocalDpi xmlns:a14="http://schemas.microsoft.com/office/drawing/2010/main" val="0"/>
                      </a:ext>
                    </a:extLst>
                  </a:blip>
                  <a:srcRect t="51428"/>
                  <a:stretch/>
                </pic:blipFill>
                <pic:spPr bwMode="auto">
                  <a:xfrm>
                    <a:off x="0" y="0"/>
                    <a:ext cx="7772400" cy="431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3D47D" w14:textId="77777777" w:rsidR="00A114B5" w:rsidRDefault="00A114B5" w:rsidP="000C4289">
      <w:r>
        <w:separator/>
      </w:r>
    </w:p>
  </w:footnote>
  <w:footnote w:type="continuationSeparator" w:id="0">
    <w:p w14:paraId="45C2AD0E" w14:textId="77777777" w:rsidR="00A114B5" w:rsidRDefault="00A114B5" w:rsidP="000C4289">
      <w:r>
        <w:continuationSeparator/>
      </w:r>
    </w:p>
  </w:footnote>
  <w:footnote w:type="continuationNotice" w:id="1">
    <w:p w14:paraId="37909221" w14:textId="77777777" w:rsidR="00A114B5" w:rsidRDefault="00A114B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7DBF" w14:textId="77777777" w:rsidR="000C4289" w:rsidRDefault="000C4289">
    <w:pPr>
      <w:pStyle w:val="Header"/>
    </w:pPr>
    <w:r>
      <w:rPr>
        <w:noProof/>
      </w:rPr>
      <w:drawing>
        <wp:anchor distT="0" distB="0" distL="114300" distR="114300" simplePos="0" relativeHeight="251658240" behindDoc="1" locked="0" layoutInCell="1" allowOverlap="1" wp14:anchorId="47626E9F" wp14:editId="263A9D75">
          <wp:simplePos x="0" y="0"/>
          <wp:positionH relativeFrom="column">
            <wp:posOffset>-457200</wp:posOffset>
          </wp:positionH>
          <wp:positionV relativeFrom="paragraph">
            <wp:posOffset>-457200</wp:posOffset>
          </wp:positionV>
          <wp:extent cx="7772400" cy="808892"/>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S20-109-IntSched-header-051320.jpg"/>
                  <pic:cNvPicPr/>
                </pic:nvPicPr>
                <pic:blipFill rotWithShape="1">
                  <a:blip r:embed="rId1">
                    <a:extLst>
                      <a:ext uri="{28A0092B-C50C-407E-A947-70E740481C1C}">
                        <a14:useLocalDpi xmlns:a14="http://schemas.microsoft.com/office/drawing/2010/main" val="0"/>
                      </a:ext>
                    </a:extLst>
                  </a:blip>
                  <a:srcRect b="38163"/>
                  <a:stretch/>
                </pic:blipFill>
                <pic:spPr bwMode="auto">
                  <a:xfrm>
                    <a:off x="0" y="0"/>
                    <a:ext cx="7851134" cy="8170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D86B" w14:textId="77777777" w:rsidR="00B77F39" w:rsidRPr="00DF3757" w:rsidRDefault="00B77F39" w:rsidP="00CF0DB3">
    <w:pPr>
      <w:rPr>
        <w:sz w:val="15"/>
        <w:szCs w:val="15"/>
      </w:rPr>
    </w:pPr>
    <w:r w:rsidRPr="00DF3757">
      <w:rPr>
        <w:noProof/>
        <w:sz w:val="15"/>
        <w:szCs w:val="15"/>
      </w:rPr>
      <w:drawing>
        <wp:anchor distT="0" distB="0" distL="114300" distR="114300" simplePos="0" relativeHeight="251658242" behindDoc="1" locked="0" layoutInCell="1" allowOverlap="1" wp14:anchorId="669F0CFB" wp14:editId="7EC1D92A">
          <wp:simplePos x="0" y="0"/>
          <wp:positionH relativeFrom="column">
            <wp:posOffset>-445135</wp:posOffset>
          </wp:positionH>
          <wp:positionV relativeFrom="paragraph">
            <wp:posOffset>-483825</wp:posOffset>
          </wp:positionV>
          <wp:extent cx="7750461" cy="1219200"/>
          <wp:effectExtent l="0" t="0" r="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S20-109-IntSched-header-051320.jpg"/>
                  <pic:cNvPicPr/>
                </pic:nvPicPr>
                <pic:blipFill rotWithShape="1">
                  <a:blip r:embed="rId1">
                    <a:extLst>
                      <a:ext uri="{28A0092B-C50C-407E-A947-70E740481C1C}">
                        <a14:useLocalDpi xmlns:a14="http://schemas.microsoft.com/office/drawing/2010/main" val="0"/>
                      </a:ext>
                    </a:extLst>
                  </a:blip>
                  <a:srcRect b="22361"/>
                  <a:stretch/>
                </pic:blipFill>
                <pic:spPr bwMode="auto">
                  <a:xfrm>
                    <a:off x="0" y="0"/>
                    <a:ext cx="7750461"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AA33BF" w14:textId="77777777" w:rsidR="00B77F39" w:rsidRPr="00DF3757" w:rsidRDefault="00B77F39" w:rsidP="00CF0DB3">
    <w:pPr>
      <w:rPr>
        <w:sz w:val="15"/>
        <w:szCs w:val="15"/>
      </w:rPr>
    </w:pPr>
  </w:p>
  <w:p w14:paraId="6E900D09" w14:textId="77777777" w:rsidR="00FE7095" w:rsidRPr="00DF3757" w:rsidRDefault="00FE7095" w:rsidP="00CF0DB3">
    <w:pPr>
      <w:rPr>
        <w:sz w:val="15"/>
        <w:szCs w:val="15"/>
      </w:rPr>
    </w:pPr>
  </w:p>
  <w:p w14:paraId="27510CC7" w14:textId="77777777" w:rsidR="00CF0DB3" w:rsidRPr="00DF3757" w:rsidRDefault="00CF0DB3" w:rsidP="00CF0DB3">
    <w:pPr>
      <w:rPr>
        <w:sz w:val="15"/>
        <w:szCs w:val="15"/>
      </w:rPr>
    </w:pPr>
  </w:p>
  <w:p w14:paraId="6B640788" w14:textId="77777777" w:rsidR="00DF3757" w:rsidRPr="00DF3757" w:rsidRDefault="00DF3757" w:rsidP="00DF3757">
    <w:pPr>
      <w:tabs>
        <w:tab w:val="left" w:pos="1115"/>
      </w:tabs>
      <w:rPr>
        <w:sz w:val="15"/>
        <w:szCs w:val="15"/>
      </w:rPr>
    </w:pPr>
  </w:p>
  <w:p w14:paraId="7781D30E" w14:textId="77777777" w:rsidR="00DF3757" w:rsidRPr="00DF3757" w:rsidRDefault="00DF3757" w:rsidP="00DF3757">
    <w:pPr>
      <w:tabs>
        <w:tab w:val="left" w:pos="1115"/>
      </w:tabs>
      <w:rPr>
        <w:sz w:val="15"/>
        <w:szCs w:val="15"/>
      </w:rPr>
    </w:pPr>
  </w:p>
  <w:p w14:paraId="4A8ABA98" w14:textId="77777777" w:rsidR="00DF3757" w:rsidRPr="00DF3757" w:rsidRDefault="00DF3757" w:rsidP="00DF3757">
    <w:pPr>
      <w:tabs>
        <w:tab w:val="left" w:pos="1115"/>
      </w:tabs>
      <w:rPr>
        <w:sz w:val="15"/>
        <w:szCs w:val="15"/>
      </w:rPr>
    </w:pPr>
  </w:p>
  <w:p w14:paraId="47253275" w14:textId="77777777" w:rsidR="00DF3757" w:rsidRPr="00DF3757" w:rsidRDefault="00DF3757" w:rsidP="00DF3757">
    <w:pPr>
      <w:tabs>
        <w:tab w:val="left" w:pos="1115"/>
      </w:tabs>
      <w:rPr>
        <w:sz w:val="15"/>
        <w:szCs w:val="15"/>
      </w:rPr>
    </w:pPr>
  </w:p>
  <w:p w14:paraId="790D9927" w14:textId="77777777" w:rsidR="00DF3757" w:rsidRPr="00DF3757" w:rsidRDefault="00DF3757" w:rsidP="00DF3757">
    <w:pPr>
      <w:tabs>
        <w:tab w:val="left" w:pos="1115"/>
      </w:tabs>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633C"/>
    <w:multiLevelType w:val="hybridMultilevel"/>
    <w:tmpl w:val="19A64E40"/>
    <w:lvl w:ilvl="0" w:tplc="FAB815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D159A"/>
    <w:multiLevelType w:val="hybridMultilevel"/>
    <w:tmpl w:val="2DACA7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5F1EEA"/>
    <w:multiLevelType w:val="hybridMultilevel"/>
    <w:tmpl w:val="8220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619B"/>
    <w:multiLevelType w:val="hybridMultilevel"/>
    <w:tmpl w:val="02527F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14913D6"/>
    <w:multiLevelType w:val="hybridMultilevel"/>
    <w:tmpl w:val="575A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4B632C"/>
    <w:multiLevelType w:val="hybridMultilevel"/>
    <w:tmpl w:val="B1A0F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BA3D9D"/>
    <w:multiLevelType w:val="hybridMultilevel"/>
    <w:tmpl w:val="2D322FD8"/>
    <w:lvl w:ilvl="0" w:tplc="F8022E5A">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1F4732"/>
    <w:multiLevelType w:val="hybridMultilevel"/>
    <w:tmpl w:val="3C804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B24392F"/>
    <w:multiLevelType w:val="hybridMultilevel"/>
    <w:tmpl w:val="F2F2E5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860A13"/>
    <w:multiLevelType w:val="hybridMultilevel"/>
    <w:tmpl w:val="40EA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F84D05"/>
    <w:multiLevelType w:val="hybridMultilevel"/>
    <w:tmpl w:val="0F74264A"/>
    <w:lvl w:ilvl="0" w:tplc="299A7CC6">
      <w:numFmt w:val="bullet"/>
      <w:lvlText w:val=""/>
      <w:lvlJc w:val="left"/>
      <w:pPr>
        <w:ind w:left="819" w:hanging="360"/>
      </w:pPr>
      <w:rPr>
        <w:rFonts w:ascii="Wingdings" w:eastAsia="Wingdings" w:hAnsi="Wingdings" w:cs="Wingdings" w:hint="default"/>
        <w:w w:val="99"/>
        <w:sz w:val="20"/>
        <w:szCs w:val="20"/>
        <w:lang w:val="en-US" w:eastAsia="en-US" w:bidi="en-US"/>
      </w:rPr>
    </w:lvl>
    <w:lvl w:ilvl="1" w:tplc="29A60C3C">
      <w:numFmt w:val="bullet"/>
      <w:lvlText w:val="•"/>
      <w:lvlJc w:val="left"/>
      <w:pPr>
        <w:ind w:left="1714" w:hanging="360"/>
      </w:pPr>
      <w:rPr>
        <w:rFonts w:hint="default"/>
        <w:lang w:val="en-US" w:eastAsia="en-US" w:bidi="en-US"/>
      </w:rPr>
    </w:lvl>
    <w:lvl w:ilvl="2" w:tplc="9C7A837A">
      <w:numFmt w:val="bullet"/>
      <w:lvlText w:val="•"/>
      <w:lvlJc w:val="left"/>
      <w:pPr>
        <w:ind w:left="2608" w:hanging="360"/>
      </w:pPr>
      <w:rPr>
        <w:rFonts w:hint="default"/>
        <w:lang w:val="en-US" w:eastAsia="en-US" w:bidi="en-US"/>
      </w:rPr>
    </w:lvl>
    <w:lvl w:ilvl="3" w:tplc="890868D0">
      <w:numFmt w:val="bullet"/>
      <w:lvlText w:val="•"/>
      <w:lvlJc w:val="left"/>
      <w:pPr>
        <w:ind w:left="3502" w:hanging="360"/>
      </w:pPr>
      <w:rPr>
        <w:rFonts w:hint="default"/>
        <w:lang w:val="en-US" w:eastAsia="en-US" w:bidi="en-US"/>
      </w:rPr>
    </w:lvl>
    <w:lvl w:ilvl="4" w:tplc="50E28712">
      <w:numFmt w:val="bullet"/>
      <w:lvlText w:val="•"/>
      <w:lvlJc w:val="left"/>
      <w:pPr>
        <w:ind w:left="4396" w:hanging="360"/>
      </w:pPr>
      <w:rPr>
        <w:rFonts w:hint="default"/>
        <w:lang w:val="en-US" w:eastAsia="en-US" w:bidi="en-US"/>
      </w:rPr>
    </w:lvl>
    <w:lvl w:ilvl="5" w:tplc="4B44F60A">
      <w:numFmt w:val="bullet"/>
      <w:lvlText w:val="•"/>
      <w:lvlJc w:val="left"/>
      <w:pPr>
        <w:ind w:left="5290" w:hanging="360"/>
      </w:pPr>
      <w:rPr>
        <w:rFonts w:hint="default"/>
        <w:lang w:val="en-US" w:eastAsia="en-US" w:bidi="en-US"/>
      </w:rPr>
    </w:lvl>
    <w:lvl w:ilvl="6" w:tplc="63DC4894">
      <w:numFmt w:val="bullet"/>
      <w:lvlText w:val="•"/>
      <w:lvlJc w:val="left"/>
      <w:pPr>
        <w:ind w:left="6184" w:hanging="360"/>
      </w:pPr>
      <w:rPr>
        <w:rFonts w:hint="default"/>
        <w:lang w:val="en-US" w:eastAsia="en-US" w:bidi="en-US"/>
      </w:rPr>
    </w:lvl>
    <w:lvl w:ilvl="7" w:tplc="C5CE1D36">
      <w:numFmt w:val="bullet"/>
      <w:lvlText w:val="•"/>
      <w:lvlJc w:val="left"/>
      <w:pPr>
        <w:ind w:left="7078" w:hanging="360"/>
      </w:pPr>
      <w:rPr>
        <w:rFonts w:hint="default"/>
        <w:lang w:val="en-US" w:eastAsia="en-US" w:bidi="en-US"/>
      </w:rPr>
    </w:lvl>
    <w:lvl w:ilvl="8" w:tplc="15E4223E">
      <w:numFmt w:val="bullet"/>
      <w:lvlText w:val="•"/>
      <w:lvlJc w:val="left"/>
      <w:pPr>
        <w:ind w:left="7972" w:hanging="360"/>
      </w:pPr>
      <w:rPr>
        <w:rFonts w:hint="default"/>
        <w:lang w:val="en-US" w:eastAsia="en-US" w:bidi="en-US"/>
      </w:rPr>
    </w:lvl>
  </w:abstractNum>
  <w:abstractNum w:abstractNumId="11" w15:restartNumberingAfterBreak="0">
    <w:nsid w:val="7E2E7FBC"/>
    <w:multiLevelType w:val="hybridMultilevel"/>
    <w:tmpl w:val="6310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0"/>
  </w:num>
  <w:num w:numId="6">
    <w:abstractNumId w:val="6"/>
  </w:num>
  <w:num w:numId="7">
    <w:abstractNumId w:val="3"/>
  </w:num>
  <w:num w:numId="8">
    <w:abstractNumId w:val="11"/>
  </w:num>
  <w:num w:numId="9">
    <w:abstractNumId w:val="1"/>
  </w:num>
  <w:num w:numId="10">
    <w:abstractNumId w:val="4"/>
  </w:num>
  <w:num w:numId="11">
    <w:abstractNumId w:val="4"/>
  </w:num>
  <w:num w:numId="12">
    <w:abstractNumId w:val="9"/>
  </w:num>
  <w:num w:numId="13">
    <w:abstractNumId w:val="6"/>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15"/>
    <w:rsid w:val="00005599"/>
    <w:rsid w:val="000263E6"/>
    <w:rsid w:val="000443FC"/>
    <w:rsid w:val="0005082B"/>
    <w:rsid w:val="00055D5C"/>
    <w:rsid w:val="00074199"/>
    <w:rsid w:val="00082847"/>
    <w:rsid w:val="000C04AF"/>
    <w:rsid w:val="000C4289"/>
    <w:rsid w:val="000D3919"/>
    <w:rsid w:val="00130735"/>
    <w:rsid w:val="00145909"/>
    <w:rsid w:val="0017112B"/>
    <w:rsid w:val="0018460D"/>
    <w:rsid w:val="00196067"/>
    <w:rsid w:val="001C695A"/>
    <w:rsid w:val="001F5AD2"/>
    <w:rsid w:val="00235CD9"/>
    <w:rsid w:val="00246CE4"/>
    <w:rsid w:val="002501E5"/>
    <w:rsid w:val="00276DAE"/>
    <w:rsid w:val="00283E20"/>
    <w:rsid w:val="0029051D"/>
    <w:rsid w:val="00293FC9"/>
    <w:rsid w:val="00295ACC"/>
    <w:rsid w:val="002A2EA2"/>
    <w:rsid w:val="002A3E40"/>
    <w:rsid w:val="002B54EC"/>
    <w:rsid w:val="002B6BE0"/>
    <w:rsid w:val="002B7003"/>
    <w:rsid w:val="002C221F"/>
    <w:rsid w:val="002C27DE"/>
    <w:rsid w:val="002D5A0C"/>
    <w:rsid w:val="002E7423"/>
    <w:rsid w:val="003036D0"/>
    <w:rsid w:val="0030478D"/>
    <w:rsid w:val="003419FE"/>
    <w:rsid w:val="003906C9"/>
    <w:rsid w:val="00392D4E"/>
    <w:rsid w:val="003934E9"/>
    <w:rsid w:val="003A12CF"/>
    <w:rsid w:val="003D5390"/>
    <w:rsid w:val="00414874"/>
    <w:rsid w:val="004414B0"/>
    <w:rsid w:val="004415B0"/>
    <w:rsid w:val="00485615"/>
    <w:rsid w:val="004D62D4"/>
    <w:rsid w:val="00506020"/>
    <w:rsid w:val="0050676E"/>
    <w:rsid w:val="005129A4"/>
    <w:rsid w:val="00562297"/>
    <w:rsid w:val="0057438E"/>
    <w:rsid w:val="00592880"/>
    <w:rsid w:val="00593673"/>
    <w:rsid w:val="005B69CD"/>
    <w:rsid w:val="005E034E"/>
    <w:rsid w:val="005E45D4"/>
    <w:rsid w:val="005E637E"/>
    <w:rsid w:val="00600924"/>
    <w:rsid w:val="00613D68"/>
    <w:rsid w:val="00627F96"/>
    <w:rsid w:val="00644BA4"/>
    <w:rsid w:val="00646EC0"/>
    <w:rsid w:val="0067170A"/>
    <w:rsid w:val="0068227E"/>
    <w:rsid w:val="006C5770"/>
    <w:rsid w:val="006D27AE"/>
    <w:rsid w:val="00702DB9"/>
    <w:rsid w:val="0074332E"/>
    <w:rsid w:val="00761265"/>
    <w:rsid w:val="00764242"/>
    <w:rsid w:val="0077316D"/>
    <w:rsid w:val="007D60C4"/>
    <w:rsid w:val="008963CF"/>
    <w:rsid w:val="008D5348"/>
    <w:rsid w:val="0091292C"/>
    <w:rsid w:val="00915B18"/>
    <w:rsid w:val="009238D0"/>
    <w:rsid w:val="009634CC"/>
    <w:rsid w:val="00965208"/>
    <w:rsid w:val="00982088"/>
    <w:rsid w:val="009873EC"/>
    <w:rsid w:val="009E376D"/>
    <w:rsid w:val="009F7383"/>
    <w:rsid w:val="00A06F3A"/>
    <w:rsid w:val="00A114B5"/>
    <w:rsid w:val="00A23F98"/>
    <w:rsid w:val="00A25558"/>
    <w:rsid w:val="00A30614"/>
    <w:rsid w:val="00A3182C"/>
    <w:rsid w:val="00A50D89"/>
    <w:rsid w:val="00A63E7B"/>
    <w:rsid w:val="00A85E2B"/>
    <w:rsid w:val="00A92078"/>
    <w:rsid w:val="00AA0A1A"/>
    <w:rsid w:val="00AB3B06"/>
    <w:rsid w:val="00AC6236"/>
    <w:rsid w:val="00AD10DD"/>
    <w:rsid w:val="00B028C0"/>
    <w:rsid w:val="00B0765D"/>
    <w:rsid w:val="00B300FA"/>
    <w:rsid w:val="00B37082"/>
    <w:rsid w:val="00B406CA"/>
    <w:rsid w:val="00B44410"/>
    <w:rsid w:val="00B44F43"/>
    <w:rsid w:val="00B769F7"/>
    <w:rsid w:val="00B77F39"/>
    <w:rsid w:val="00BA2554"/>
    <w:rsid w:val="00BB185D"/>
    <w:rsid w:val="00BB7C37"/>
    <w:rsid w:val="00BD7A80"/>
    <w:rsid w:val="00BF6F0C"/>
    <w:rsid w:val="00C3044A"/>
    <w:rsid w:val="00C43EB4"/>
    <w:rsid w:val="00C54915"/>
    <w:rsid w:val="00C6629F"/>
    <w:rsid w:val="00CA1AD3"/>
    <w:rsid w:val="00CB481B"/>
    <w:rsid w:val="00CB7EC9"/>
    <w:rsid w:val="00CD1161"/>
    <w:rsid w:val="00CD5201"/>
    <w:rsid w:val="00CD7951"/>
    <w:rsid w:val="00CF0DB3"/>
    <w:rsid w:val="00CF3C87"/>
    <w:rsid w:val="00CF499A"/>
    <w:rsid w:val="00D071BA"/>
    <w:rsid w:val="00D14413"/>
    <w:rsid w:val="00D208BE"/>
    <w:rsid w:val="00D25E49"/>
    <w:rsid w:val="00D26E3C"/>
    <w:rsid w:val="00D27F14"/>
    <w:rsid w:val="00D601EC"/>
    <w:rsid w:val="00D63853"/>
    <w:rsid w:val="00D737B5"/>
    <w:rsid w:val="00DA24EB"/>
    <w:rsid w:val="00DC08D7"/>
    <w:rsid w:val="00DD5956"/>
    <w:rsid w:val="00DF3757"/>
    <w:rsid w:val="00E1459E"/>
    <w:rsid w:val="00E37939"/>
    <w:rsid w:val="00E639CC"/>
    <w:rsid w:val="00E74B6A"/>
    <w:rsid w:val="00E904F5"/>
    <w:rsid w:val="00EC6E50"/>
    <w:rsid w:val="00F01737"/>
    <w:rsid w:val="00F05FC4"/>
    <w:rsid w:val="00F258D7"/>
    <w:rsid w:val="00F25FF3"/>
    <w:rsid w:val="00F31BAB"/>
    <w:rsid w:val="00F5227E"/>
    <w:rsid w:val="00F530ED"/>
    <w:rsid w:val="00F54F0F"/>
    <w:rsid w:val="00F84866"/>
    <w:rsid w:val="00FA2E43"/>
    <w:rsid w:val="00FE6011"/>
    <w:rsid w:val="00FE7095"/>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0DCBA"/>
  <w15:chartTrackingRefBased/>
  <w15:docId w15:val="{93B3F0F7-E49C-4AC0-8356-CB628FED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F39"/>
    <w:pPr>
      <w:spacing w:line="264" w:lineRule="auto"/>
    </w:pPr>
    <w:rPr>
      <w:rFonts w:ascii="Trebuchet MS" w:eastAsia="Trebuchet MS" w:hAnsi="Trebuchet MS" w:cs="Trebuchet MS"/>
      <w:color w:val="585454"/>
      <w:sz w:val="20"/>
      <w:szCs w:val="22"/>
    </w:rPr>
  </w:style>
  <w:style w:type="paragraph" w:styleId="Heading1">
    <w:name w:val="heading 1"/>
    <w:next w:val="Normal"/>
    <w:link w:val="Heading1Char"/>
    <w:uiPriority w:val="9"/>
    <w:qFormat/>
    <w:rsid w:val="00074199"/>
    <w:pPr>
      <w:outlineLvl w:val="0"/>
    </w:pPr>
    <w:rPr>
      <w:rFonts w:ascii="Trebuchet MS" w:eastAsia="Verdana" w:hAnsi="Trebuchet MS" w:cs="Verdana"/>
      <w:color w:val="585454"/>
      <w:sz w:val="26"/>
      <w:szCs w:val="32"/>
      <w:lang w:bidi="en-US"/>
    </w:rPr>
  </w:style>
  <w:style w:type="paragraph" w:styleId="Heading2">
    <w:name w:val="heading 2"/>
    <w:basedOn w:val="Normal"/>
    <w:next w:val="Normal"/>
    <w:link w:val="Heading2Char"/>
    <w:uiPriority w:val="9"/>
    <w:unhideWhenUsed/>
    <w:qFormat/>
    <w:rsid w:val="003D5390"/>
    <w:pPr>
      <w:keepNext/>
      <w:keepLines/>
      <w:spacing w:before="40"/>
      <w:outlineLvl w:val="1"/>
    </w:pPr>
    <w:rPr>
      <w:rFonts w:asciiTheme="majorHAnsi" w:eastAsiaTheme="majorEastAsia" w:hAnsiTheme="majorHAnsi" w:cstheme="majorBidi"/>
      <w:color w:val="423E3E" w:themeColor="accent1" w:themeShade="BF"/>
      <w:sz w:val="26"/>
      <w:szCs w:val="26"/>
    </w:rPr>
  </w:style>
  <w:style w:type="paragraph" w:styleId="Heading3">
    <w:name w:val="heading 3"/>
    <w:basedOn w:val="Normal"/>
    <w:next w:val="Normal"/>
    <w:link w:val="Heading3Char"/>
    <w:uiPriority w:val="9"/>
    <w:unhideWhenUsed/>
    <w:qFormat/>
    <w:rsid w:val="003D5390"/>
    <w:pPr>
      <w:keepNext/>
      <w:keepLines/>
      <w:spacing w:before="40"/>
      <w:outlineLvl w:val="2"/>
    </w:pPr>
    <w:rPr>
      <w:rFonts w:asciiTheme="majorHAnsi" w:eastAsiaTheme="majorEastAsia" w:hAnsiTheme="majorHAnsi" w:cstheme="majorBidi"/>
      <w:color w:val="2C2929" w:themeColor="accent1" w:themeShade="7F"/>
      <w:sz w:val="24"/>
    </w:rPr>
  </w:style>
  <w:style w:type="paragraph" w:styleId="Heading4">
    <w:name w:val="heading 4"/>
    <w:basedOn w:val="Normal"/>
    <w:next w:val="Normal"/>
    <w:link w:val="Heading4Char"/>
    <w:uiPriority w:val="9"/>
    <w:unhideWhenUsed/>
    <w:qFormat/>
    <w:rsid w:val="003D5390"/>
    <w:pPr>
      <w:keepNext/>
      <w:keepLines/>
      <w:spacing w:before="40"/>
      <w:outlineLvl w:val="3"/>
    </w:pPr>
    <w:rPr>
      <w:rFonts w:asciiTheme="majorHAnsi" w:eastAsiaTheme="majorEastAsia" w:hAnsiTheme="majorHAnsi" w:cstheme="majorBidi"/>
      <w:i/>
      <w:iCs/>
      <w:color w:val="423E3E" w:themeColor="accent1" w:themeShade="BF"/>
    </w:rPr>
  </w:style>
  <w:style w:type="paragraph" w:styleId="Heading5">
    <w:name w:val="heading 5"/>
    <w:basedOn w:val="Normal"/>
    <w:next w:val="Normal"/>
    <w:link w:val="Heading5Char"/>
    <w:uiPriority w:val="9"/>
    <w:unhideWhenUsed/>
    <w:qFormat/>
    <w:rsid w:val="00DF3757"/>
    <w:pPr>
      <w:keepNext/>
      <w:keepLines/>
      <w:pBdr>
        <w:bottom w:val="single" w:sz="8" w:space="3" w:color="595454" w:themeColor="text1"/>
      </w:pBdr>
      <w:spacing w:before="320" w:line="240" w:lineRule="auto"/>
      <w:outlineLvl w:val="4"/>
    </w:pPr>
    <w:rPr>
      <w:rFonts w:asciiTheme="majorHAnsi" w:eastAsiaTheme="majorEastAsia" w:hAnsiTheme="majorHAnsi" w:cstheme="majorBidi"/>
      <w:b/>
      <w:color w:val="423E3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89"/>
    <w:pPr>
      <w:tabs>
        <w:tab w:val="center" w:pos="4680"/>
        <w:tab w:val="right" w:pos="9360"/>
      </w:tabs>
    </w:pPr>
  </w:style>
  <w:style w:type="character" w:customStyle="1" w:styleId="HeaderChar">
    <w:name w:val="Header Char"/>
    <w:basedOn w:val="DefaultParagraphFont"/>
    <w:link w:val="Header"/>
    <w:uiPriority w:val="99"/>
    <w:rsid w:val="000C4289"/>
  </w:style>
  <w:style w:type="paragraph" w:styleId="Footer">
    <w:name w:val="footer"/>
    <w:basedOn w:val="Normal"/>
    <w:link w:val="FooterChar"/>
    <w:uiPriority w:val="99"/>
    <w:unhideWhenUsed/>
    <w:rsid w:val="000C4289"/>
    <w:pPr>
      <w:tabs>
        <w:tab w:val="center" w:pos="4680"/>
        <w:tab w:val="right" w:pos="9360"/>
      </w:tabs>
    </w:pPr>
  </w:style>
  <w:style w:type="character" w:customStyle="1" w:styleId="FooterChar">
    <w:name w:val="Footer Char"/>
    <w:basedOn w:val="DefaultParagraphFont"/>
    <w:link w:val="Footer"/>
    <w:uiPriority w:val="99"/>
    <w:rsid w:val="000C4289"/>
  </w:style>
  <w:style w:type="paragraph" w:customStyle="1" w:styleId="TableParagraph">
    <w:name w:val="Table Paragraph"/>
    <w:basedOn w:val="Normal"/>
    <w:uiPriority w:val="1"/>
    <w:qFormat/>
    <w:rsid w:val="009873EC"/>
    <w:pPr>
      <w:widowControl w:val="0"/>
    </w:pPr>
  </w:style>
  <w:style w:type="table" w:styleId="TableGrid">
    <w:name w:val="Table Grid"/>
    <w:basedOn w:val="TableNormal"/>
    <w:uiPriority w:val="39"/>
    <w:rsid w:val="00F530ED"/>
    <w:tblPr>
      <w:tblBorders>
        <w:top w:val="single" w:sz="4" w:space="0" w:color="595454" w:themeColor="text1"/>
        <w:bottom w:val="single" w:sz="4" w:space="0" w:color="595454" w:themeColor="text1"/>
        <w:insideH w:val="single" w:sz="4" w:space="0" w:color="595454" w:themeColor="text1"/>
      </w:tblBorders>
      <w:tblCellMar>
        <w:top w:w="72" w:type="dxa"/>
        <w:left w:w="0" w:type="dxa"/>
        <w:bottom w:w="72" w:type="dxa"/>
        <w:right w:w="0" w:type="dxa"/>
      </w:tblCellMar>
    </w:tblPr>
    <w:tblStylePr w:type="firstRow">
      <w:rPr>
        <w:b/>
        <w:i w:val="0"/>
      </w:rPr>
      <w:tblPr/>
      <w:tcPr>
        <w:tcBorders>
          <w:top w:val="nil"/>
          <w:left w:val="nil"/>
          <w:bottom w:val="single" w:sz="8" w:space="0" w:color="595454" w:themeColor="text1"/>
          <w:right w:val="nil"/>
          <w:insideH w:val="nil"/>
          <w:insideV w:val="nil"/>
          <w:tl2br w:val="nil"/>
          <w:tr2bl w:val="nil"/>
        </w:tcBorders>
      </w:tcPr>
    </w:tblStylePr>
    <w:tblStylePr w:type="lastRow">
      <w:rPr>
        <w:b/>
        <w:i w:val="0"/>
      </w:rPr>
      <w:tblPr/>
      <w:tcPr>
        <w:tcBorders>
          <w:top w:val="single" w:sz="8" w:space="0" w:color="595454" w:themeColor="text1"/>
          <w:left w:val="nil"/>
          <w:bottom w:val="nil"/>
          <w:right w:val="nil"/>
          <w:insideH w:val="nil"/>
          <w:insideV w:val="nil"/>
          <w:tl2br w:val="nil"/>
          <w:tr2bl w:val="nil"/>
        </w:tcBorders>
      </w:tcPr>
    </w:tblStylePr>
    <w:tblStylePr w:type="firstCol">
      <w:rPr>
        <w:b/>
        <w:i w:val="0"/>
      </w:rPr>
    </w:tblStylePr>
    <w:tblStylePr w:type="lastCol">
      <w:rPr>
        <w:b/>
        <w:i w:val="0"/>
      </w:rPr>
    </w:tblStylePr>
  </w:style>
  <w:style w:type="paragraph" w:styleId="ListParagraph">
    <w:name w:val="List Paragraph"/>
    <w:basedOn w:val="Normal"/>
    <w:uiPriority w:val="34"/>
    <w:qFormat/>
    <w:rsid w:val="00DF3757"/>
    <w:pPr>
      <w:numPr>
        <w:numId w:val="6"/>
      </w:numPr>
      <w:spacing w:before="120" w:line="240" w:lineRule="auto"/>
      <w:ind w:left="720"/>
    </w:pPr>
  </w:style>
  <w:style w:type="paragraph" w:styleId="BodyText">
    <w:name w:val="Body Text"/>
    <w:basedOn w:val="Normal"/>
    <w:link w:val="BodyTextChar"/>
    <w:uiPriority w:val="1"/>
    <w:qFormat/>
    <w:rsid w:val="00DF3757"/>
    <w:pPr>
      <w:widowControl w:val="0"/>
      <w:autoSpaceDE w:val="0"/>
      <w:autoSpaceDN w:val="0"/>
      <w:spacing w:before="120" w:after="240" w:line="360" w:lineRule="auto"/>
    </w:pPr>
    <w:rPr>
      <w:rFonts w:eastAsia="Verdana" w:cs="Verdana"/>
      <w:szCs w:val="20"/>
      <w:lang w:bidi="en-US"/>
    </w:rPr>
  </w:style>
  <w:style w:type="character" w:customStyle="1" w:styleId="BodyTextChar">
    <w:name w:val="Body Text Char"/>
    <w:basedOn w:val="DefaultParagraphFont"/>
    <w:link w:val="BodyText"/>
    <w:uiPriority w:val="1"/>
    <w:rsid w:val="00DF3757"/>
    <w:rPr>
      <w:rFonts w:ascii="Trebuchet MS" w:eastAsia="Verdana" w:hAnsi="Trebuchet MS" w:cs="Verdana"/>
      <w:color w:val="585454"/>
      <w:sz w:val="20"/>
      <w:szCs w:val="20"/>
      <w:lang w:bidi="en-US"/>
    </w:rPr>
  </w:style>
  <w:style w:type="character" w:customStyle="1" w:styleId="Heading1Char">
    <w:name w:val="Heading 1 Char"/>
    <w:basedOn w:val="DefaultParagraphFont"/>
    <w:link w:val="Heading1"/>
    <w:uiPriority w:val="9"/>
    <w:rsid w:val="00074199"/>
    <w:rPr>
      <w:rFonts w:ascii="Trebuchet MS" w:eastAsia="Verdana" w:hAnsi="Trebuchet MS" w:cs="Verdana"/>
      <w:color w:val="585454"/>
      <w:sz w:val="26"/>
      <w:szCs w:val="32"/>
      <w:lang w:bidi="en-US"/>
    </w:rPr>
  </w:style>
  <w:style w:type="character" w:customStyle="1" w:styleId="Heading2Char">
    <w:name w:val="Heading 2 Char"/>
    <w:basedOn w:val="DefaultParagraphFont"/>
    <w:link w:val="Heading2"/>
    <w:uiPriority w:val="9"/>
    <w:rsid w:val="003D5390"/>
    <w:rPr>
      <w:rFonts w:asciiTheme="majorHAnsi" w:eastAsiaTheme="majorEastAsia" w:hAnsiTheme="majorHAnsi" w:cstheme="majorBidi"/>
      <w:color w:val="423E3E" w:themeColor="accent1" w:themeShade="BF"/>
      <w:sz w:val="26"/>
      <w:szCs w:val="26"/>
    </w:rPr>
  </w:style>
  <w:style w:type="character" w:customStyle="1" w:styleId="Heading3Char">
    <w:name w:val="Heading 3 Char"/>
    <w:basedOn w:val="DefaultParagraphFont"/>
    <w:link w:val="Heading3"/>
    <w:uiPriority w:val="9"/>
    <w:rsid w:val="003D5390"/>
    <w:rPr>
      <w:rFonts w:asciiTheme="majorHAnsi" w:eastAsiaTheme="majorEastAsia" w:hAnsiTheme="majorHAnsi" w:cstheme="majorBidi"/>
      <w:color w:val="2C2929" w:themeColor="accent1" w:themeShade="7F"/>
    </w:rPr>
  </w:style>
  <w:style w:type="character" w:customStyle="1" w:styleId="Heading4Char">
    <w:name w:val="Heading 4 Char"/>
    <w:basedOn w:val="DefaultParagraphFont"/>
    <w:link w:val="Heading4"/>
    <w:uiPriority w:val="9"/>
    <w:rsid w:val="003D5390"/>
    <w:rPr>
      <w:rFonts w:asciiTheme="majorHAnsi" w:eastAsiaTheme="majorEastAsia" w:hAnsiTheme="majorHAnsi" w:cstheme="majorBidi"/>
      <w:i/>
      <w:iCs/>
      <w:color w:val="423E3E" w:themeColor="accent1" w:themeShade="BF"/>
      <w:sz w:val="22"/>
    </w:rPr>
  </w:style>
  <w:style w:type="character" w:customStyle="1" w:styleId="Heading5Char">
    <w:name w:val="Heading 5 Char"/>
    <w:basedOn w:val="DefaultParagraphFont"/>
    <w:link w:val="Heading5"/>
    <w:uiPriority w:val="9"/>
    <w:rsid w:val="00DF3757"/>
    <w:rPr>
      <w:rFonts w:asciiTheme="majorHAnsi" w:eastAsiaTheme="majorEastAsia" w:hAnsiTheme="majorHAnsi" w:cstheme="majorBidi"/>
      <w:b/>
      <w:color w:val="423E3E" w:themeColor="accent1" w:themeShade="BF"/>
      <w:sz w:val="20"/>
      <w:szCs w:val="22"/>
    </w:rPr>
  </w:style>
  <w:style w:type="character" w:styleId="PageNumber">
    <w:name w:val="page number"/>
    <w:basedOn w:val="DefaultParagraphFont"/>
    <w:uiPriority w:val="99"/>
    <w:semiHidden/>
    <w:unhideWhenUsed/>
    <w:rsid w:val="00FE7095"/>
  </w:style>
  <w:style w:type="character" w:styleId="Strong">
    <w:name w:val="Strong"/>
    <w:basedOn w:val="DefaultParagraphFont"/>
    <w:uiPriority w:val="22"/>
    <w:qFormat/>
    <w:rsid w:val="00B77F39"/>
    <w:rPr>
      <w:b/>
      <w:bCs/>
    </w:rPr>
  </w:style>
  <w:style w:type="paragraph" w:styleId="NoSpacing">
    <w:name w:val="No Spacing"/>
    <w:uiPriority w:val="1"/>
    <w:qFormat/>
    <w:rsid w:val="00C54915"/>
    <w:rPr>
      <w:rFonts w:ascii="Trebuchet MS" w:eastAsia="Trebuchet MS" w:hAnsi="Trebuchet MS" w:cs="Trebuchet MS"/>
      <w:color w:val="585454"/>
      <w:sz w:val="20"/>
      <w:szCs w:val="22"/>
    </w:rPr>
  </w:style>
  <w:style w:type="character" w:styleId="Hyperlink">
    <w:name w:val="Hyperlink"/>
    <w:basedOn w:val="DefaultParagraphFont"/>
    <w:semiHidden/>
    <w:unhideWhenUsed/>
    <w:rsid w:val="0091292C"/>
    <w:rPr>
      <w:color w:val="0000CC"/>
      <w:u w:val="single"/>
    </w:rPr>
  </w:style>
  <w:style w:type="character" w:styleId="CommentReference">
    <w:name w:val="annotation reference"/>
    <w:basedOn w:val="DefaultParagraphFont"/>
    <w:uiPriority w:val="99"/>
    <w:semiHidden/>
    <w:unhideWhenUsed/>
    <w:rsid w:val="007D60C4"/>
    <w:rPr>
      <w:sz w:val="16"/>
      <w:szCs w:val="16"/>
    </w:rPr>
  </w:style>
  <w:style w:type="paragraph" w:styleId="CommentText">
    <w:name w:val="annotation text"/>
    <w:basedOn w:val="Normal"/>
    <w:link w:val="CommentTextChar"/>
    <w:uiPriority w:val="99"/>
    <w:semiHidden/>
    <w:unhideWhenUsed/>
    <w:rsid w:val="007D60C4"/>
    <w:pPr>
      <w:spacing w:line="240" w:lineRule="auto"/>
    </w:pPr>
    <w:rPr>
      <w:szCs w:val="20"/>
    </w:rPr>
  </w:style>
  <w:style w:type="character" w:customStyle="1" w:styleId="CommentTextChar">
    <w:name w:val="Comment Text Char"/>
    <w:basedOn w:val="DefaultParagraphFont"/>
    <w:link w:val="CommentText"/>
    <w:uiPriority w:val="99"/>
    <w:semiHidden/>
    <w:rsid w:val="007D60C4"/>
    <w:rPr>
      <w:rFonts w:ascii="Trebuchet MS" w:eastAsia="Trebuchet MS" w:hAnsi="Trebuchet MS" w:cs="Trebuchet MS"/>
      <w:color w:val="585454"/>
      <w:sz w:val="20"/>
      <w:szCs w:val="20"/>
    </w:rPr>
  </w:style>
  <w:style w:type="paragraph" w:styleId="CommentSubject">
    <w:name w:val="annotation subject"/>
    <w:basedOn w:val="CommentText"/>
    <w:next w:val="CommentText"/>
    <w:link w:val="CommentSubjectChar"/>
    <w:uiPriority w:val="99"/>
    <w:semiHidden/>
    <w:unhideWhenUsed/>
    <w:rsid w:val="007D60C4"/>
    <w:rPr>
      <w:b/>
      <w:bCs/>
    </w:rPr>
  </w:style>
  <w:style w:type="character" w:customStyle="1" w:styleId="CommentSubjectChar">
    <w:name w:val="Comment Subject Char"/>
    <w:basedOn w:val="CommentTextChar"/>
    <w:link w:val="CommentSubject"/>
    <w:uiPriority w:val="99"/>
    <w:semiHidden/>
    <w:rsid w:val="007D60C4"/>
    <w:rPr>
      <w:rFonts w:ascii="Trebuchet MS" w:eastAsia="Trebuchet MS" w:hAnsi="Trebuchet MS" w:cs="Trebuchet MS"/>
      <w:b/>
      <w:bCs/>
      <w:color w:val="585454"/>
      <w:sz w:val="20"/>
      <w:szCs w:val="20"/>
    </w:rPr>
  </w:style>
  <w:style w:type="paragraph" w:styleId="BalloonText">
    <w:name w:val="Balloon Text"/>
    <w:basedOn w:val="Normal"/>
    <w:link w:val="BalloonTextChar"/>
    <w:uiPriority w:val="99"/>
    <w:semiHidden/>
    <w:unhideWhenUsed/>
    <w:rsid w:val="007D60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0C4"/>
    <w:rPr>
      <w:rFonts w:ascii="Segoe UI" w:eastAsia="Trebuchet MS" w:hAnsi="Segoe UI" w:cs="Segoe UI"/>
      <w:color w:val="58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4517">
      <w:bodyDiv w:val="1"/>
      <w:marLeft w:val="0"/>
      <w:marRight w:val="0"/>
      <w:marTop w:val="0"/>
      <w:marBottom w:val="0"/>
      <w:divBdr>
        <w:top w:val="none" w:sz="0" w:space="0" w:color="auto"/>
        <w:left w:val="none" w:sz="0" w:space="0" w:color="auto"/>
        <w:bottom w:val="none" w:sz="0" w:space="0" w:color="auto"/>
        <w:right w:val="none" w:sz="0" w:space="0" w:color="auto"/>
      </w:divBdr>
    </w:div>
    <w:div w:id="246352687">
      <w:bodyDiv w:val="1"/>
      <w:marLeft w:val="0"/>
      <w:marRight w:val="0"/>
      <w:marTop w:val="0"/>
      <w:marBottom w:val="0"/>
      <w:divBdr>
        <w:top w:val="none" w:sz="0" w:space="0" w:color="auto"/>
        <w:left w:val="none" w:sz="0" w:space="0" w:color="auto"/>
        <w:bottom w:val="none" w:sz="0" w:space="0" w:color="auto"/>
        <w:right w:val="none" w:sz="0" w:space="0" w:color="auto"/>
      </w:divBdr>
    </w:div>
    <w:div w:id="724447898">
      <w:bodyDiv w:val="1"/>
      <w:marLeft w:val="0"/>
      <w:marRight w:val="0"/>
      <w:marTop w:val="0"/>
      <w:marBottom w:val="0"/>
      <w:divBdr>
        <w:top w:val="none" w:sz="0" w:space="0" w:color="auto"/>
        <w:left w:val="none" w:sz="0" w:space="0" w:color="auto"/>
        <w:bottom w:val="none" w:sz="0" w:space="0" w:color="auto"/>
        <w:right w:val="none" w:sz="0" w:space="0" w:color="auto"/>
      </w:divBdr>
    </w:div>
    <w:div w:id="848522454">
      <w:bodyDiv w:val="1"/>
      <w:marLeft w:val="0"/>
      <w:marRight w:val="0"/>
      <w:marTop w:val="0"/>
      <w:marBottom w:val="0"/>
      <w:divBdr>
        <w:top w:val="none" w:sz="0" w:space="0" w:color="auto"/>
        <w:left w:val="none" w:sz="0" w:space="0" w:color="auto"/>
        <w:bottom w:val="none" w:sz="0" w:space="0" w:color="auto"/>
        <w:right w:val="none" w:sz="0" w:space="0" w:color="auto"/>
      </w:divBdr>
    </w:div>
    <w:div w:id="877397987">
      <w:bodyDiv w:val="1"/>
      <w:marLeft w:val="0"/>
      <w:marRight w:val="0"/>
      <w:marTop w:val="0"/>
      <w:marBottom w:val="0"/>
      <w:divBdr>
        <w:top w:val="none" w:sz="0" w:space="0" w:color="auto"/>
        <w:left w:val="none" w:sz="0" w:space="0" w:color="auto"/>
        <w:bottom w:val="none" w:sz="0" w:space="0" w:color="auto"/>
        <w:right w:val="none" w:sz="0" w:space="0" w:color="auto"/>
      </w:divBdr>
    </w:div>
    <w:div w:id="996150357">
      <w:bodyDiv w:val="1"/>
      <w:marLeft w:val="0"/>
      <w:marRight w:val="0"/>
      <w:marTop w:val="0"/>
      <w:marBottom w:val="0"/>
      <w:divBdr>
        <w:top w:val="none" w:sz="0" w:space="0" w:color="auto"/>
        <w:left w:val="none" w:sz="0" w:space="0" w:color="auto"/>
        <w:bottom w:val="none" w:sz="0" w:space="0" w:color="auto"/>
        <w:right w:val="none" w:sz="0" w:space="0" w:color="auto"/>
      </w:divBdr>
    </w:div>
    <w:div w:id="1242450525">
      <w:bodyDiv w:val="1"/>
      <w:marLeft w:val="0"/>
      <w:marRight w:val="0"/>
      <w:marTop w:val="0"/>
      <w:marBottom w:val="0"/>
      <w:divBdr>
        <w:top w:val="none" w:sz="0" w:space="0" w:color="auto"/>
        <w:left w:val="none" w:sz="0" w:space="0" w:color="auto"/>
        <w:bottom w:val="none" w:sz="0" w:space="0" w:color="auto"/>
        <w:right w:val="none" w:sz="0" w:space="0" w:color="auto"/>
      </w:divBdr>
    </w:div>
    <w:div w:id="1282998658">
      <w:bodyDiv w:val="1"/>
      <w:marLeft w:val="0"/>
      <w:marRight w:val="0"/>
      <w:marTop w:val="0"/>
      <w:marBottom w:val="0"/>
      <w:divBdr>
        <w:top w:val="none" w:sz="0" w:space="0" w:color="auto"/>
        <w:left w:val="none" w:sz="0" w:space="0" w:color="auto"/>
        <w:bottom w:val="none" w:sz="0" w:space="0" w:color="auto"/>
        <w:right w:val="none" w:sz="0" w:space="0" w:color="auto"/>
      </w:divBdr>
    </w:div>
    <w:div w:id="1319117684">
      <w:bodyDiv w:val="1"/>
      <w:marLeft w:val="0"/>
      <w:marRight w:val="0"/>
      <w:marTop w:val="0"/>
      <w:marBottom w:val="0"/>
      <w:divBdr>
        <w:top w:val="none" w:sz="0" w:space="0" w:color="auto"/>
        <w:left w:val="none" w:sz="0" w:space="0" w:color="auto"/>
        <w:bottom w:val="none" w:sz="0" w:space="0" w:color="auto"/>
        <w:right w:val="none" w:sz="0" w:space="0" w:color="auto"/>
      </w:divBdr>
    </w:div>
    <w:div w:id="1794595172">
      <w:bodyDiv w:val="1"/>
      <w:marLeft w:val="0"/>
      <w:marRight w:val="0"/>
      <w:marTop w:val="0"/>
      <w:marBottom w:val="0"/>
      <w:divBdr>
        <w:top w:val="none" w:sz="0" w:space="0" w:color="auto"/>
        <w:left w:val="none" w:sz="0" w:space="0" w:color="auto"/>
        <w:bottom w:val="none" w:sz="0" w:space="0" w:color="auto"/>
        <w:right w:val="none" w:sz="0" w:space="0" w:color="auto"/>
      </w:divBdr>
    </w:div>
    <w:div w:id="18746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BMS-2020">
  <a:themeElements>
    <a:clrScheme name="Bristol Myers Squibb Colors">
      <a:dk1>
        <a:srgbClr val="595454"/>
      </a:dk1>
      <a:lt1>
        <a:srgbClr val="FFFFFF"/>
      </a:lt1>
      <a:dk2>
        <a:srgbClr val="595454"/>
      </a:dk2>
      <a:lt2>
        <a:srgbClr val="EEE7E7"/>
      </a:lt2>
      <a:accent1>
        <a:srgbClr val="595454"/>
      </a:accent1>
      <a:accent2>
        <a:srgbClr val="FFD186"/>
      </a:accent2>
      <a:accent3>
        <a:srgbClr val="59FFB9"/>
      </a:accent3>
      <a:accent4>
        <a:srgbClr val="A69F9F"/>
      </a:accent4>
      <a:accent5>
        <a:srgbClr val="33D6F1"/>
      </a:accent5>
      <a:accent6>
        <a:srgbClr val="FDA97D"/>
      </a:accent6>
      <a:hlink>
        <a:srgbClr val="595454"/>
      </a:hlink>
      <a:folHlink>
        <a:srgbClr val="595454"/>
      </a:folHlink>
    </a:clrScheme>
    <a:fontScheme name="Bristol Myers Squibb Fonts">
      <a:majorFont>
        <a:latin typeface="Trebuchet MS"/>
        <a:ea typeface=""/>
        <a:cs typeface=""/>
      </a:majorFont>
      <a:minorFont>
        <a:latin typeface="Trebuchet MS"/>
        <a:ea typeface=""/>
        <a:cs typeface=""/>
      </a:minorFont>
    </a:fontScheme>
    <a:fmtScheme name="Bristol Myers Squibb Effects">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outerShdw blurRad="127000" dist="63500" dir="2700000" algn="br" rotWithShape="0">
              <a:srgbClr val="000000">
                <a:alpha val="25000"/>
              </a:srgbClr>
            </a:outerShdw>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a:lstStyle>
        <a:defPPr algn="ctr">
          <a:lnSpc>
            <a:spcPct val="100000"/>
          </a:lnSpc>
          <a:defRPr sz="1000"/>
        </a:defPPr>
      </a:lstStyle>
      <a:style>
        <a:lnRef idx="0">
          <a:schemeClr val="accent1"/>
        </a:lnRef>
        <a:fillRef idx="1">
          <a:schemeClr val="accent1"/>
        </a:fillRef>
        <a:effectRef idx="0">
          <a:srgbClr val="000000"/>
        </a:effectRef>
        <a:fontRef idx="minor">
          <a:schemeClr val="lt1"/>
        </a:fontRef>
      </a:style>
    </a:spDef>
    <a:lnDef>
      <a:spPr>
        <a:ln w="12700" cap="sq"/>
      </a:spPr>
      <a:bodyPr/>
      <a:lstStyle/>
      <a:style>
        <a:lnRef idx="1">
          <a:schemeClr val="accent1"/>
        </a:lnRef>
        <a:fillRef idx="0">
          <a:schemeClr val="accent1"/>
        </a:fillRef>
        <a:effectRef idx="0">
          <a:srgbClr val="000000"/>
        </a:effectRef>
        <a:fontRef idx="minor">
          <a:schemeClr val="lt1"/>
        </a:fontRef>
      </a:style>
    </a:lnDef>
  </a:objectDefaults>
  <a:extraClrSchemeLst/>
  <a:custClrLst>
    <a:custClr name="Purple">
      <a:srgbClr val="BE2BBB"/>
    </a:custClr>
    <a:custClr name="Dark Gray">
      <a:srgbClr val="595454"/>
    </a:custClr>
    <a:custClr name="Gray">
      <a:srgbClr val="A69F9F"/>
    </a:custClr>
    <a:custClr name="Light Gray">
      <a:srgbClr val="EEE7E7"/>
    </a:custClr>
    <a:custClr name="White">
      <a:srgbClr val="FFFFFF"/>
    </a:custClr>
    <a:custClr name="White">
      <a:srgbClr val="FFFFFF"/>
    </a:custClr>
    <a:custClr name="White">
      <a:srgbClr val="FFFFFF"/>
    </a:custClr>
    <a:custClr name="White">
      <a:srgbClr val="FFFFFF"/>
    </a:custClr>
    <a:custClr name="White">
      <a:srgbClr val="FFFFFF"/>
    </a:custClr>
    <a:custClr name="White">
      <a:srgbClr val="FFFFFF"/>
    </a:custClr>
    <a:custClr name="Amber 2">
      <a:srgbClr val="FFD186"/>
    </a:custClr>
    <a:custClr name="Amber 1">
      <a:srgbClr val="FFECCD"/>
    </a:custClr>
    <a:custClr name="Peach 2">
      <a:srgbClr val="FDA97D"/>
    </a:custClr>
    <a:custClr name="Peach 1">
      <a:srgbClr val="FEDCCA"/>
    </a:custClr>
    <a:custClr name="Sienna 2">
      <a:srgbClr val="CB7C78"/>
    </a:custClr>
    <a:custClr name="Sienna 1">
      <a:srgbClr val="DAC5C5"/>
    </a:custClr>
    <a:custClr name="Mint 2">
      <a:srgbClr val="59FFB9"/>
    </a:custClr>
    <a:custClr name="Mint 1">
      <a:srgbClr val="C5FFE6"/>
    </a:custClr>
    <a:custClr name="Aqua 2">
      <a:srgbClr val="33D6F1"/>
    </a:custClr>
    <a:custClr name="Aqua 1">
      <a:srgbClr val="C0F2F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238be675cf09ccff88dc4d1c5b288419">
  <xsd:schema xmlns:xsd="http://www.w3.org/2001/XMLSchema" xmlns:xs="http://www.w3.org/2001/XMLSchema" xmlns:p="http://schemas.microsoft.com/office/2006/metadata/properties" xmlns:ns3="42a8c8f4-2b3f-487c-a2c0-52867899e17f" xmlns:ns4="f277241c-0a06-40ed-80e7-db15976b983c" targetNamespace="http://schemas.microsoft.com/office/2006/metadata/properties" ma:root="true" ma:fieldsID="e06726c08be13ad2f8ea16bde321786b" ns3:_="" ns4:_="">
    <xsd:import namespace="42a8c8f4-2b3f-487c-a2c0-52867899e17f"/>
    <xsd:import namespace="f277241c-0a06-40ed-80e7-db15976b983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68BE8-F5C3-4123-8F64-2524632D8EA0}">
  <ds:schemaRefs>
    <ds:schemaRef ds:uri="http://schemas.openxmlformats.org/officeDocument/2006/bibliography"/>
  </ds:schemaRefs>
</ds:datastoreItem>
</file>

<file path=customXml/itemProps2.xml><?xml version="1.0" encoding="utf-8"?>
<ds:datastoreItem xmlns:ds="http://schemas.openxmlformats.org/officeDocument/2006/customXml" ds:itemID="{8BF26D6B-9C7E-4109-B722-9381ACD2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c8f4-2b3f-487c-a2c0-52867899e17f"/>
    <ds:schemaRef ds:uri="f277241c-0a06-40ed-80e7-db15976b9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8A22D-4C8F-4279-84FF-4E8103CE3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1D099-7E96-4EE5-9FB5-1A1644A98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7562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McGrath</dc:creator>
  <cp:keywords/>
  <dc:description/>
  <cp:lastModifiedBy>Korsen, Elliott</cp:lastModifiedBy>
  <cp:revision>2</cp:revision>
  <dcterms:created xsi:type="dcterms:W3CDTF">2021-12-02T14:54:00Z</dcterms:created>
  <dcterms:modified xsi:type="dcterms:W3CDTF">2021-12-02T14:54:00Z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0x01010057AF4FBD0EF6344282D2A6B5A41CE740</vt:lpwstr>
  </property>
</Properties>
</file>